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72DA" w14:textId="77777777" w:rsidR="00AD3F71" w:rsidRDefault="00AD3F71" w:rsidP="00AD3F71">
      <w:pPr>
        <w:pStyle w:val="avviso"/>
      </w:pPr>
      <w:bookmarkStart w:id="0" w:name="_GoBack"/>
      <w:bookmarkEnd w:id="0"/>
    </w:p>
    <w:p w14:paraId="4812F27B" w14:textId="77777777" w:rsidR="00AD3F71" w:rsidRPr="0060646C" w:rsidRDefault="00AD3F71" w:rsidP="00AD3F71">
      <w:pPr>
        <w:pStyle w:val="avviso"/>
      </w:pPr>
    </w:p>
    <w:p w14:paraId="0E6D8FCA" w14:textId="77777777" w:rsidR="00AD7D17" w:rsidRPr="00151FAC" w:rsidRDefault="00AD7D17" w:rsidP="00AD7D17">
      <w:pPr>
        <w:tabs>
          <w:tab w:val="right" w:pos="9638"/>
        </w:tabs>
        <w:rPr>
          <w:rFonts w:ascii="Palatino Linotype" w:hAnsi="Palatino Linotype"/>
          <w:b/>
          <w:sz w:val="30"/>
          <w:szCs w:val="30"/>
          <w:highlight w:val="yellow"/>
        </w:rPr>
      </w:pPr>
      <w:bookmarkStart w:id="1" w:name="_Hlk76484727"/>
      <w:bookmarkStart w:id="2" w:name="_Toc428871109"/>
      <w:bookmarkStart w:id="3" w:name="_Toc432084354"/>
      <w:bookmarkStart w:id="4" w:name="_Toc442357320"/>
      <w:r w:rsidRPr="00151FAC">
        <w:rPr>
          <w:rFonts w:ascii="Palatino Linotype" w:hAnsi="Palatino Linotype" w:cs="Arial"/>
          <w:b/>
          <w:sz w:val="30"/>
          <w:szCs w:val="30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</w:p>
    <w:p w14:paraId="1C31E125" w14:textId="77777777" w:rsidR="00AD7D17" w:rsidRDefault="00AD7D17" w:rsidP="00AD7D17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5" w:name="_Hlk44662413"/>
      <w:bookmarkEnd w:id="1"/>
    </w:p>
    <w:p w14:paraId="40971B16" w14:textId="7C05295C" w:rsidR="00AD7D17" w:rsidRDefault="00AD7D17" w:rsidP="00AD7D17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5"/>
      <w:r w:rsidR="00B85349" w:rsidRPr="00B85349">
        <w:rPr>
          <w:rFonts w:ascii="Palatino Linotype" w:hAnsi="Palatino Linotype"/>
          <w:b/>
        </w:rPr>
        <w:t>8237985</w:t>
      </w:r>
    </w:p>
    <w:p w14:paraId="7FF7023D" w14:textId="77777777" w:rsidR="00AD7D17" w:rsidRDefault="00AD7D17" w:rsidP="00AD7D17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D92A29C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4D74FBC9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1BEC21F1" w14:textId="77777777" w:rsidR="00C20FA4" w:rsidRDefault="00C20FA4" w:rsidP="00C20FA4">
      <w:pPr>
        <w:rPr>
          <w:rFonts w:eastAsia="Verdana" w:cstheme="minorHAnsi"/>
          <w:b/>
        </w:rPr>
      </w:pPr>
    </w:p>
    <w:p w14:paraId="6A82447B" w14:textId="77777777" w:rsidR="005264DA" w:rsidRPr="0093350D" w:rsidRDefault="005264DA" w:rsidP="005264DA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 xml:space="preserve">Allegato n.1 </w:t>
      </w:r>
    </w:p>
    <w:p w14:paraId="1D169740" w14:textId="77777777" w:rsidR="00186121" w:rsidRDefault="00186121" w:rsidP="00186121"/>
    <w:p w14:paraId="06B522E2" w14:textId="77777777"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14:paraId="6E07E727" w14:textId="77777777" w:rsidR="00592AFC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INFORMATIVA RESA AI SENSI DEL GDPR 2016/679 </w:t>
      </w:r>
    </w:p>
    <w:p w14:paraId="403BC611" w14:textId="77777777"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(GENERAL DATA PROTECTION REGULATION)</w:t>
      </w:r>
    </w:p>
    <w:p w14:paraId="502A609A" w14:textId="77777777" w:rsidR="00E209F6" w:rsidRPr="007A22DB" w:rsidRDefault="00E209F6" w:rsidP="00E71DBB">
      <w:pPr>
        <w:pStyle w:val="avviso"/>
      </w:pPr>
    </w:p>
    <w:p w14:paraId="04C8D967" w14:textId="77777777"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14:paraId="2848F5A6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6" w:name="_Toc354038183"/>
      <w:bookmarkStart w:id="7" w:name="_Toc380501886"/>
      <w:bookmarkStart w:id="8" w:name="_Toc391035999"/>
      <w:bookmarkStart w:id="9" w:name="_Toc391036072"/>
      <w:bookmarkStart w:id="10" w:name="_Toc392577513"/>
      <w:bookmarkStart w:id="11" w:name="_Toc393110580"/>
      <w:bookmarkStart w:id="12" w:name="_Toc393112144"/>
      <w:bookmarkStart w:id="13" w:name="_Toc393187861"/>
      <w:bookmarkStart w:id="14" w:name="_Toc393272617"/>
      <w:bookmarkStart w:id="15" w:name="_Toc393272675"/>
      <w:bookmarkStart w:id="16" w:name="_Toc393283191"/>
      <w:bookmarkStart w:id="17" w:name="_Toc393700850"/>
      <w:bookmarkStart w:id="18" w:name="_Toc393706923"/>
      <w:bookmarkStart w:id="19" w:name="_Toc397346838"/>
      <w:bookmarkStart w:id="20" w:name="_Toc397422879"/>
      <w:bookmarkStart w:id="21" w:name="_Toc403471286"/>
      <w:bookmarkStart w:id="22" w:name="_Toc406058394"/>
      <w:bookmarkStart w:id="23" w:name="_Toc406754195"/>
      <w:bookmarkStart w:id="24" w:name="_Toc416423378"/>
      <w:bookmarkStart w:id="25" w:name="_Toc500345625"/>
      <w:r w:rsidRPr="00182699">
        <w:lastRenderedPageBreak/>
        <w:t>TRATTAMENTO DEI DATI PERSONALI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204A1BF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56BDD7F4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Ai sensi dell’art. 13 del Regolamento Generale Europeo per la protezione dei dati personali (GDPR) General Data Protection Regulation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4C1294F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7FEA9695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59FC8D0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3DE7C8F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6" w:name="_Ref9265534"/>
      <w:r w:rsidRPr="00091A82">
        <w:t>Finalità del trattamento e base giuridica</w:t>
      </w:r>
      <w:bookmarkEnd w:id="26"/>
    </w:p>
    <w:p w14:paraId="0015EA81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63D1F582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08C4613C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70D2F636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s.m.i.)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s.m.i.)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s.m.i.</w:t>
      </w:r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s.m.i.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>e s.m.i.</w:t>
      </w:r>
    </w:p>
    <w:p w14:paraId="683C776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72BD283E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5DBDC876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54C02D1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6B8F67A2" w14:textId="28A24181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49435C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7787913B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26DB8D7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4FCF63B3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6230B6D2" w14:textId="6A066CFA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49435C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01E28C9B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6B38C28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7B8B223C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3AD584D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4C21493B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34032C4F" w14:textId="77777777" w:rsidR="00AE1867" w:rsidRDefault="00AE1867" w:rsidP="00AE1867"/>
    <w:p w14:paraId="78C79E4C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1D10D461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29B0500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6BF9E3C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6CA3D940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64D2609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5D14451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7836DD18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6BCCE3B8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2E48E961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3E2DF87E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04A2D3D7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75A59F51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6DDDD9D0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72F9F646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7A69C30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466CD204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Il Responsabile della Protezione dei Dati (RPD), nominato con la Deliberazione di Giunta Regionale n. 431 del 17/05/2018, Nicola Petrizzi è raggiungibile al seguente indirizzo: Via Vincenzo Verrastro n. 6, IT-85100, Potenza (Email: rpd@regione.basilicata.it  PEC: rpd@cert.regione.basilicata.it).</w:t>
      </w:r>
    </w:p>
    <w:p w14:paraId="57C1CCE0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D9D05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0DD9506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7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8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9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9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30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30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1FAAB03E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23802AD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</w:t>
      </w:r>
      <w:r w:rsidRPr="00C67DAE">
        <w:rPr>
          <w:rFonts w:asciiTheme="minorHAnsi" w:hAnsiTheme="minorHAnsi" w:cs="Arial"/>
        </w:rPr>
        <w:lastRenderedPageBreak/>
        <w:t xml:space="preserve">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69CBA3FA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445E94D9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7B81194D" w14:textId="77777777"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2B4A253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6FA50322" w14:textId="77777777" w:rsidTr="008023AE">
        <w:trPr>
          <w:cantSplit/>
          <w:jc w:val="right"/>
        </w:trPr>
        <w:tc>
          <w:tcPr>
            <w:tcW w:w="492" w:type="pct"/>
          </w:tcPr>
          <w:p w14:paraId="06C40DAB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A4CFF7C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66F211E2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2"/>
      <w:bookmarkEnd w:id="3"/>
      <w:bookmarkEnd w:id="4"/>
    </w:tbl>
    <w:p w14:paraId="28762F1B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8965" w14:textId="77777777" w:rsidR="0012444E" w:rsidRDefault="0012444E" w:rsidP="00E71DBB">
      <w:r>
        <w:separator/>
      </w:r>
    </w:p>
  </w:endnote>
  <w:endnote w:type="continuationSeparator" w:id="0">
    <w:p w14:paraId="620598AB" w14:textId="77777777" w:rsidR="0012444E" w:rsidRDefault="001244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3410" w14:textId="77777777" w:rsidR="00AD7D17" w:rsidRDefault="00AD7D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C8FF" w14:textId="77777777" w:rsidR="00AD7D17" w:rsidRPr="00AD7D17" w:rsidRDefault="00AD7D17" w:rsidP="00AD7D17">
    <w:pPr>
      <w:pStyle w:val="Pidipagina"/>
      <w:spacing w:before="120"/>
      <w:ind w:left="-992"/>
      <w:jc w:val="center"/>
      <w:rPr>
        <w:i/>
        <w:sz w:val="18"/>
        <w:szCs w:val="18"/>
      </w:rPr>
    </w:pPr>
    <w:r w:rsidRPr="00AD7D17">
      <w:rPr>
        <w:i/>
        <w:sz w:val="18"/>
        <w:szCs w:val="18"/>
      </w:rPr>
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</w:r>
  </w:p>
  <w:p w14:paraId="746DA2D1" w14:textId="402386C3" w:rsidR="00005389" w:rsidRDefault="00005389" w:rsidP="00005389">
    <w:pPr>
      <w:pStyle w:val="Pidipagina"/>
      <w:jc w:val="center"/>
      <w:rPr>
        <w:i/>
      </w:rPr>
    </w:pPr>
    <w:r>
      <w:rPr>
        <w:i/>
      </w:rPr>
      <w:t>Informativa GRDP</w:t>
    </w:r>
  </w:p>
  <w:p w14:paraId="2D0C1055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5CA5" w14:textId="77777777" w:rsidR="00AD7D17" w:rsidRDefault="00AD7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ED1C" w14:textId="77777777" w:rsidR="0012444E" w:rsidRDefault="0012444E" w:rsidP="00E71DBB">
      <w:r>
        <w:separator/>
      </w:r>
    </w:p>
  </w:footnote>
  <w:footnote w:type="continuationSeparator" w:id="0">
    <w:p w14:paraId="2A29A20D" w14:textId="77777777" w:rsidR="0012444E" w:rsidRDefault="001244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E48A" w14:textId="77777777" w:rsidR="00AD7D17" w:rsidRDefault="00AD7D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4DFA" w14:textId="77777777"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73A84A7B" w14:textId="77777777"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1A3E48A5" w14:textId="77777777"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1A58" w14:textId="77777777"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62A2B0EB" wp14:editId="166A0D6D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444E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3272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57D47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166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35C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4DA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2AFC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B7CE2"/>
    <w:rsid w:val="007C16E8"/>
    <w:rsid w:val="007C22EB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D7D17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85349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E6851"/>
    <w:rsid w:val="00DF00B9"/>
    <w:rsid w:val="00DF073C"/>
    <w:rsid w:val="00DF0C90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AB0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033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13CA73"/>
  <w15:docId w15:val="{71757A17-A457-49BE-B1D4-337DADB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D064-A5B2-4804-906F-E7B6EF44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10811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</cp:revision>
  <cp:lastPrinted>2021-07-14T10:10:00Z</cp:lastPrinted>
  <dcterms:created xsi:type="dcterms:W3CDTF">2021-08-02T12:28:00Z</dcterms:created>
  <dcterms:modified xsi:type="dcterms:W3CDTF">2021-08-02T12:28:00Z</dcterms:modified>
</cp:coreProperties>
</file>