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C48B8" w14:textId="77777777" w:rsidR="00942D00" w:rsidRDefault="00942D00" w:rsidP="00942D00">
      <w:pPr>
        <w:widowControl w:val="0"/>
        <w:spacing w:after="60"/>
        <w:rPr>
          <w:rFonts w:ascii="Titillium" w:hAnsi="Titillium"/>
          <w:b/>
          <w:sz w:val="36"/>
          <w:szCs w:val="36"/>
        </w:rPr>
      </w:pPr>
      <w:bookmarkStart w:id="0" w:name="_Toc428871109"/>
      <w:bookmarkStart w:id="1" w:name="_Toc432084354"/>
      <w:bookmarkStart w:id="2" w:name="_Toc442357320"/>
    </w:p>
    <w:p w14:paraId="70CE84DF" w14:textId="77777777" w:rsidR="00942D00" w:rsidRDefault="00942D00" w:rsidP="00942D00">
      <w:pPr>
        <w:widowControl w:val="0"/>
        <w:spacing w:after="60"/>
        <w:rPr>
          <w:rFonts w:ascii="Titillium" w:hAnsi="Titillium"/>
          <w:b/>
          <w:sz w:val="36"/>
          <w:szCs w:val="36"/>
        </w:rPr>
      </w:pPr>
    </w:p>
    <w:p w14:paraId="3DCC4A89" w14:textId="77777777" w:rsidR="00942D00" w:rsidRDefault="00942D00" w:rsidP="00942D00">
      <w:pPr>
        <w:widowControl w:val="0"/>
        <w:spacing w:after="60"/>
        <w:rPr>
          <w:rFonts w:ascii="Titillium" w:hAnsi="Titillium"/>
          <w:b/>
          <w:sz w:val="36"/>
          <w:szCs w:val="36"/>
        </w:rPr>
      </w:pPr>
    </w:p>
    <w:p w14:paraId="6154366B" w14:textId="77777777" w:rsidR="00942D00" w:rsidRDefault="00942D00" w:rsidP="00942D00">
      <w:pPr>
        <w:widowControl w:val="0"/>
        <w:spacing w:after="60"/>
        <w:rPr>
          <w:rFonts w:ascii="Titillium" w:hAnsi="Titillium"/>
          <w:b/>
          <w:sz w:val="36"/>
          <w:szCs w:val="36"/>
        </w:rPr>
      </w:pPr>
    </w:p>
    <w:p w14:paraId="76B8A01A" w14:textId="77777777" w:rsidR="00942D00" w:rsidRPr="004E0F44" w:rsidRDefault="00942D00" w:rsidP="00942D00">
      <w:pPr>
        <w:widowControl w:val="0"/>
        <w:spacing w:line="23" w:lineRule="atLeast"/>
        <w:ind w:left="567"/>
        <w:jc w:val="center"/>
        <w:rPr>
          <w:rFonts w:ascii="Titillium" w:hAnsi="Titillium"/>
          <w:b/>
          <w:sz w:val="24"/>
          <w:szCs w:val="24"/>
        </w:rPr>
      </w:pPr>
      <w:r w:rsidRPr="004E0F44">
        <w:rPr>
          <w:rFonts w:ascii="Titillium" w:hAnsi="Titillium"/>
          <w:b/>
          <w:sz w:val="24"/>
          <w:szCs w:val="24"/>
        </w:rPr>
        <w:t>DICHIARAZIONI INTEGRATIVE AL DGUE</w:t>
      </w:r>
    </w:p>
    <w:p w14:paraId="23E3019B" w14:textId="77777777" w:rsidR="00942D00" w:rsidRPr="00917ECC" w:rsidRDefault="00942D00" w:rsidP="00942D00">
      <w:pPr>
        <w:widowControl w:val="0"/>
        <w:spacing w:line="23" w:lineRule="atLeast"/>
        <w:ind w:left="567"/>
        <w:jc w:val="center"/>
        <w:rPr>
          <w:rFonts w:ascii="Titillium" w:hAnsi="Titillium"/>
          <w:b/>
          <w:sz w:val="24"/>
          <w:szCs w:val="24"/>
        </w:rPr>
      </w:pPr>
      <w:r w:rsidRPr="004E0F44">
        <w:rPr>
          <w:rFonts w:ascii="Titillium" w:hAnsi="Titillium"/>
          <w:b/>
          <w:sz w:val="24"/>
          <w:szCs w:val="24"/>
        </w:rPr>
        <w:t>AI SENSI DEL D.P.R 445/2000</w:t>
      </w:r>
    </w:p>
    <w:p w14:paraId="56C14A09" w14:textId="77777777" w:rsidR="00942D00" w:rsidRPr="00917ECC" w:rsidRDefault="00942D00" w:rsidP="00942D00">
      <w:pPr>
        <w:widowControl w:val="0"/>
        <w:spacing w:line="23" w:lineRule="atLeast"/>
        <w:ind w:left="567"/>
        <w:jc w:val="center"/>
        <w:rPr>
          <w:rFonts w:ascii="Titillium" w:hAnsi="Titillium"/>
          <w:b/>
          <w:sz w:val="24"/>
          <w:szCs w:val="24"/>
        </w:rPr>
      </w:pPr>
    </w:p>
    <w:p w14:paraId="504213FC" w14:textId="77777777" w:rsidR="00942D00" w:rsidRPr="00917ECC" w:rsidRDefault="00942D00" w:rsidP="00942D00">
      <w:pPr>
        <w:widowControl w:val="0"/>
        <w:spacing w:line="23" w:lineRule="atLeast"/>
        <w:ind w:left="567"/>
        <w:jc w:val="center"/>
        <w:rPr>
          <w:rFonts w:ascii="Titillium" w:hAnsi="Titillium"/>
          <w:b/>
          <w:sz w:val="24"/>
          <w:szCs w:val="24"/>
        </w:rPr>
      </w:pPr>
      <w:r w:rsidRPr="00917ECC">
        <w:rPr>
          <w:rFonts w:ascii="Titillium" w:hAnsi="Titillium"/>
          <w:b/>
          <w:sz w:val="24"/>
          <w:szCs w:val="24"/>
        </w:rPr>
        <w:t xml:space="preserve">ALLEGATO </w:t>
      </w:r>
      <w:r>
        <w:rPr>
          <w:rFonts w:ascii="Titillium" w:hAnsi="Titillium"/>
          <w:b/>
          <w:sz w:val="24"/>
          <w:szCs w:val="24"/>
        </w:rPr>
        <w:t>2.</w:t>
      </w:r>
      <w:r w:rsidRPr="00917ECC">
        <w:rPr>
          <w:rFonts w:ascii="Titillium" w:hAnsi="Titillium"/>
          <w:b/>
          <w:sz w:val="24"/>
          <w:szCs w:val="24"/>
        </w:rPr>
        <w:t>1</w:t>
      </w:r>
    </w:p>
    <w:p w14:paraId="120586C9" w14:textId="77777777" w:rsidR="00942D00" w:rsidRDefault="00942D00" w:rsidP="00942D00">
      <w:pPr>
        <w:widowControl w:val="0"/>
        <w:spacing w:line="23" w:lineRule="atLeast"/>
        <w:ind w:left="567"/>
        <w:rPr>
          <w:rFonts w:ascii="Titillium" w:hAnsi="Titillium"/>
          <w:b/>
          <w:sz w:val="24"/>
          <w:szCs w:val="24"/>
        </w:rPr>
      </w:pPr>
    </w:p>
    <w:p w14:paraId="7910977F" w14:textId="77777777" w:rsidR="00942D00" w:rsidRPr="00917ECC" w:rsidRDefault="00942D00" w:rsidP="00942D00">
      <w:pPr>
        <w:widowControl w:val="0"/>
        <w:spacing w:line="23" w:lineRule="atLeast"/>
        <w:ind w:left="567"/>
        <w:rPr>
          <w:rFonts w:ascii="Titillium" w:hAnsi="Titillium"/>
          <w:b/>
          <w:sz w:val="24"/>
          <w:szCs w:val="24"/>
        </w:rPr>
      </w:pPr>
    </w:p>
    <w:p w14:paraId="0C90D21C" w14:textId="77777777" w:rsidR="00942D00" w:rsidRPr="00917ECC" w:rsidRDefault="00942D00" w:rsidP="00942D00">
      <w:pPr>
        <w:widowControl w:val="0"/>
        <w:spacing w:line="23" w:lineRule="atLeast"/>
        <w:ind w:left="567"/>
        <w:rPr>
          <w:rFonts w:ascii="Titillium" w:hAnsi="Titillium"/>
          <w:b/>
          <w:sz w:val="24"/>
          <w:szCs w:val="24"/>
        </w:rPr>
      </w:pPr>
    </w:p>
    <w:p w14:paraId="2AD93019" w14:textId="77777777" w:rsidR="00942D00" w:rsidRPr="00917ECC" w:rsidRDefault="00942D00" w:rsidP="00942D00">
      <w:pPr>
        <w:widowControl w:val="0"/>
        <w:spacing w:line="23" w:lineRule="atLeast"/>
        <w:ind w:left="567"/>
        <w:rPr>
          <w:rFonts w:ascii="Titillium" w:hAnsi="Titillium"/>
          <w:b/>
          <w:sz w:val="24"/>
          <w:szCs w:val="24"/>
        </w:rPr>
      </w:pPr>
      <w:bookmarkStart w:id="3" w:name="_Hlk114755245"/>
      <w:r w:rsidRPr="00917ECC">
        <w:rPr>
          <w:rFonts w:ascii="Titillium" w:hAnsi="Titillium"/>
          <w:b/>
          <w:sz w:val="24"/>
          <w:szCs w:val="24"/>
        </w:rPr>
        <w:t xml:space="preserve">Procedura </w:t>
      </w:r>
      <w:bookmarkStart w:id="4" w:name="_Hlk126745315"/>
      <w:r w:rsidRPr="00917ECC">
        <w:rPr>
          <w:rFonts w:ascii="Titillium" w:hAnsi="Titillium"/>
          <w:b/>
          <w:sz w:val="24"/>
          <w:szCs w:val="24"/>
        </w:rPr>
        <w:t>telematica aperta per l’affidamento quinquennale della fornitura di sistemi di infusione occorrenti all’AOR “San Carlo” di Potenza e all’ASM</w:t>
      </w:r>
      <w:bookmarkEnd w:id="4"/>
      <w:r w:rsidRPr="00917ECC">
        <w:rPr>
          <w:rFonts w:ascii="Titillium" w:hAnsi="Titillium"/>
          <w:b/>
          <w:sz w:val="24"/>
          <w:szCs w:val="24"/>
        </w:rPr>
        <w:t>.</w:t>
      </w:r>
      <w:bookmarkEnd w:id="3"/>
    </w:p>
    <w:p w14:paraId="69170433" w14:textId="77777777" w:rsidR="00942D00" w:rsidRPr="00917ECC" w:rsidRDefault="00942D00" w:rsidP="00942D00">
      <w:pPr>
        <w:widowControl w:val="0"/>
        <w:spacing w:line="23" w:lineRule="atLeast"/>
        <w:ind w:left="567"/>
        <w:rPr>
          <w:rFonts w:ascii="Titillium" w:hAnsi="Titillium"/>
          <w:b/>
          <w:sz w:val="24"/>
          <w:szCs w:val="24"/>
        </w:rPr>
      </w:pPr>
    </w:p>
    <w:p w14:paraId="3308FF8E" w14:textId="77777777" w:rsidR="00942D00" w:rsidRPr="00917ECC" w:rsidRDefault="00942D00" w:rsidP="00942D00">
      <w:pPr>
        <w:widowControl w:val="0"/>
        <w:spacing w:line="23" w:lineRule="atLeast"/>
        <w:ind w:left="567"/>
        <w:rPr>
          <w:rFonts w:ascii="Titillium" w:hAnsi="Titillium"/>
          <w:b/>
          <w:sz w:val="24"/>
          <w:szCs w:val="24"/>
        </w:rPr>
      </w:pPr>
    </w:p>
    <w:p w14:paraId="7B40BB0E" w14:textId="77777777" w:rsidR="00942D00" w:rsidRPr="00917ECC" w:rsidRDefault="00942D00" w:rsidP="00942D00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4"/>
          <w:szCs w:val="24"/>
          <w:lang w:eastAsia="en-US"/>
        </w:rPr>
      </w:pPr>
      <w:r w:rsidRPr="00917ECC">
        <w:rPr>
          <w:rFonts w:ascii="Titillium" w:hAnsi="Titillium"/>
          <w:b/>
          <w:sz w:val="24"/>
          <w:szCs w:val="24"/>
        </w:rPr>
        <w:t xml:space="preserve">SIMOG N. </w:t>
      </w:r>
      <w:r>
        <w:rPr>
          <w:rFonts w:ascii="Titillium" w:hAnsi="Titillium"/>
          <w:b/>
          <w:sz w:val="24"/>
          <w:szCs w:val="24"/>
        </w:rPr>
        <w:t>8960693</w:t>
      </w:r>
    </w:p>
    <w:p w14:paraId="7D550B6F" w14:textId="77777777" w:rsidR="00942D00" w:rsidRPr="00917ECC" w:rsidRDefault="00942D00" w:rsidP="00942D00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4"/>
          <w:szCs w:val="24"/>
          <w:lang w:eastAsia="en-US"/>
        </w:rPr>
      </w:pPr>
    </w:p>
    <w:p w14:paraId="42A48B33" w14:textId="77777777" w:rsidR="00942D00" w:rsidRPr="00FA11BF" w:rsidRDefault="00942D00" w:rsidP="00942D00">
      <w:pPr>
        <w:widowControl w:val="0"/>
        <w:spacing w:after="60" w:line="276" w:lineRule="auto"/>
        <w:rPr>
          <w:rFonts w:ascii="Garamond" w:eastAsia="Times New Roman" w:hAnsi="Garamond"/>
          <w:b/>
          <w:sz w:val="36"/>
          <w:szCs w:val="36"/>
        </w:rPr>
      </w:pPr>
    </w:p>
    <w:p w14:paraId="3D7CF054" w14:textId="77777777" w:rsidR="00942D00" w:rsidRDefault="00942D00" w:rsidP="00942D00">
      <w:pPr>
        <w:autoSpaceDE w:val="0"/>
        <w:autoSpaceDN w:val="0"/>
        <w:adjustRightInd w:val="0"/>
        <w:ind w:left="4248" w:firstLine="708"/>
      </w:pPr>
      <w:r w:rsidRPr="007A22DB">
        <w:br w:type="page"/>
      </w:r>
      <w:bookmarkEnd w:id="0"/>
      <w:bookmarkEnd w:id="1"/>
      <w:bookmarkEnd w:id="2"/>
    </w:p>
    <w:p w14:paraId="7D1CA752" w14:textId="77777777" w:rsidR="00942D00" w:rsidRDefault="00942D00" w:rsidP="00942D00">
      <w:pPr>
        <w:autoSpaceDE w:val="0"/>
        <w:autoSpaceDN w:val="0"/>
        <w:adjustRightInd w:val="0"/>
        <w:ind w:left="4248" w:firstLine="708"/>
      </w:pPr>
    </w:p>
    <w:p w14:paraId="4F4BE8B4" w14:textId="77777777" w:rsidR="00942D00" w:rsidRDefault="00942D00" w:rsidP="00942D00">
      <w:pPr>
        <w:autoSpaceDE w:val="0"/>
        <w:autoSpaceDN w:val="0"/>
        <w:adjustRightInd w:val="0"/>
        <w:ind w:left="4248" w:firstLine="708"/>
      </w:pPr>
    </w:p>
    <w:p w14:paraId="2E2B1B3B" w14:textId="77777777" w:rsidR="00942D00" w:rsidRPr="006014A2" w:rsidRDefault="00942D00" w:rsidP="00942D00">
      <w:pPr>
        <w:autoSpaceDE w:val="0"/>
        <w:autoSpaceDN w:val="0"/>
        <w:adjustRightInd w:val="0"/>
        <w:ind w:left="3828" w:firstLine="567"/>
        <w:rPr>
          <w:rFonts w:ascii="Titillium" w:hAnsi="Titillium" w:cs="Arial"/>
          <w:sz w:val="18"/>
          <w:szCs w:val="18"/>
        </w:rPr>
      </w:pPr>
      <w:r w:rsidRPr="006014A2">
        <w:rPr>
          <w:rFonts w:ascii="Titillium" w:hAnsi="Titillium" w:cs="Arial"/>
          <w:sz w:val="18"/>
          <w:szCs w:val="18"/>
        </w:rPr>
        <w:t>Spett.le REGIONE BASILICATA</w:t>
      </w:r>
    </w:p>
    <w:p w14:paraId="46C0781B" w14:textId="77777777" w:rsidR="00942D00" w:rsidRPr="006014A2" w:rsidRDefault="00942D00" w:rsidP="00942D00">
      <w:pPr>
        <w:autoSpaceDE w:val="0"/>
        <w:autoSpaceDN w:val="0"/>
        <w:adjustRightInd w:val="0"/>
        <w:ind w:left="4962" w:hanging="6"/>
        <w:rPr>
          <w:rFonts w:ascii="Titillium" w:hAnsi="Titillium" w:cs="Arial"/>
          <w:sz w:val="18"/>
          <w:szCs w:val="18"/>
        </w:rPr>
      </w:pPr>
      <w:r w:rsidRPr="006014A2">
        <w:rPr>
          <w:rFonts w:ascii="Titillium" w:hAnsi="Titillium" w:cs="Arial"/>
          <w:sz w:val="18"/>
          <w:szCs w:val="18"/>
        </w:rPr>
        <w:t>Di</w:t>
      </w:r>
      <w:r>
        <w:rPr>
          <w:rFonts w:ascii="Titillium" w:hAnsi="Titillium" w:cs="Arial"/>
          <w:sz w:val="18"/>
          <w:szCs w:val="18"/>
        </w:rPr>
        <w:t>rezione Generale</w:t>
      </w:r>
      <w:r w:rsidRPr="006014A2">
        <w:rPr>
          <w:rFonts w:ascii="Titillium" w:hAnsi="Titillium" w:cs="Arial"/>
          <w:sz w:val="18"/>
          <w:szCs w:val="18"/>
        </w:rPr>
        <w:t xml:space="preserve"> Stazione Unica Appaltante</w:t>
      </w:r>
    </w:p>
    <w:p w14:paraId="60CC7D32" w14:textId="77777777" w:rsidR="00942D00" w:rsidRPr="006014A2" w:rsidRDefault="00942D00" w:rsidP="00942D00">
      <w:pPr>
        <w:autoSpaceDE w:val="0"/>
        <w:autoSpaceDN w:val="0"/>
        <w:adjustRightInd w:val="0"/>
        <w:ind w:left="4962" w:hanging="6"/>
        <w:rPr>
          <w:rFonts w:ascii="Titillium" w:hAnsi="Titillium" w:cs="Arial"/>
          <w:sz w:val="18"/>
          <w:szCs w:val="18"/>
        </w:rPr>
      </w:pPr>
      <w:r w:rsidRPr="006014A2">
        <w:rPr>
          <w:rFonts w:ascii="Titillium" w:hAnsi="Titillium" w:cs="Arial"/>
          <w:sz w:val="18"/>
          <w:szCs w:val="18"/>
        </w:rPr>
        <w:t>Ufficio Centrale di Committenza e Soggetto Aggregatore</w:t>
      </w:r>
    </w:p>
    <w:p w14:paraId="1FEBDBC1" w14:textId="77777777" w:rsidR="00942D00" w:rsidRPr="006014A2" w:rsidRDefault="00942D00" w:rsidP="00942D00">
      <w:pPr>
        <w:autoSpaceDE w:val="0"/>
        <w:autoSpaceDN w:val="0"/>
        <w:adjustRightInd w:val="0"/>
        <w:ind w:left="4962" w:hanging="6"/>
        <w:rPr>
          <w:rFonts w:ascii="Titillium" w:hAnsi="Titillium" w:cs="Arial"/>
          <w:sz w:val="18"/>
          <w:szCs w:val="18"/>
        </w:rPr>
      </w:pPr>
      <w:r w:rsidRPr="006014A2">
        <w:rPr>
          <w:rFonts w:ascii="Titillium" w:hAnsi="Titillium" w:cs="Arial"/>
          <w:sz w:val="18"/>
          <w:szCs w:val="18"/>
        </w:rPr>
        <w:t xml:space="preserve">Via Vincenzo </w:t>
      </w:r>
      <w:proofErr w:type="spellStart"/>
      <w:r w:rsidRPr="006014A2">
        <w:rPr>
          <w:rFonts w:ascii="Titillium" w:hAnsi="Titillium" w:cs="Arial"/>
          <w:sz w:val="18"/>
          <w:szCs w:val="18"/>
        </w:rPr>
        <w:t>Verrastro</w:t>
      </w:r>
      <w:proofErr w:type="spellEnd"/>
      <w:r w:rsidRPr="006014A2">
        <w:rPr>
          <w:rFonts w:ascii="Titillium" w:hAnsi="Titillium" w:cs="Arial"/>
          <w:sz w:val="18"/>
          <w:szCs w:val="18"/>
        </w:rPr>
        <w:t>, 4</w:t>
      </w:r>
    </w:p>
    <w:p w14:paraId="365A46DE" w14:textId="77777777" w:rsidR="00942D00" w:rsidRPr="006014A2" w:rsidRDefault="00942D00" w:rsidP="00942D00">
      <w:pPr>
        <w:autoSpaceDE w:val="0"/>
        <w:autoSpaceDN w:val="0"/>
        <w:adjustRightInd w:val="0"/>
        <w:ind w:left="5387" w:hanging="6"/>
        <w:rPr>
          <w:rFonts w:ascii="Titillium" w:hAnsi="Titillium" w:cs="Arial"/>
          <w:sz w:val="18"/>
          <w:szCs w:val="18"/>
          <w:u w:val="single"/>
        </w:rPr>
      </w:pPr>
      <w:r w:rsidRPr="006014A2">
        <w:rPr>
          <w:rFonts w:ascii="Titillium" w:hAnsi="Titillium" w:cs="Arial"/>
          <w:sz w:val="18"/>
          <w:szCs w:val="18"/>
          <w:u w:val="single"/>
        </w:rPr>
        <w:t>85100 – POTENZA</w:t>
      </w:r>
    </w:p>
    <w:p w14:paraId="405D7EA0" w14:textId="77777777" w:rsidR="00942D00" w:rsidRPr="00F05DAE" w:rsidRDefault="00942D00" w:rsidP="00942D00">
      <w:pPr>
        <w:autoSpaceDE w:val="0"/>
        <w:autoSpaceDN w:val="0"/>
        <w:adjustRightInd w:val="0"/>
        <w:ind w:left="4248" w:firstLine="708"/>
        <w:rPr>
          <w:rStyle w:val="FontStyle19"/>
          <w:rFonts w:ascii="Garamond" w:hAnsi="Garamond"/>
          <w:sz w:val="24"/>
          <w:szCs w:val="24"/>
        </w:rPr>
      </w:pPr>
    </w:p>
    <w:p w14:paraId="5DCFA101" w14:textId="77777777" w:rsidR="00942D00" w:rsidRPr="004E0F44" w:rsidRDefault="00942D00" w:rsidP="00942D00">
      <w:pPr>
        <w:pStyle w:val="Style12"/>
        <w:ind w:left="851" w:right="849"/>
        <w:rPr>
          <w:rFonts w:ascii="Titillium" w:hAnsi="Titillium" w:cs="Times New Roman"/>
          <w:b/>
          <w:bCs/>
          <w:iCs/>
          <w:sz w:val="22"/>
          <w:szCs w:val="22"/>
        </w:rPr>
      </w:pPr>
      <w:r w:rsidRPr="004E0F44">
        <w:rPr>
          <w:rStyle w:val="FontStyle19"/>
          <w:rFonts w:ascii="Titillium" w:hAnsi="Titillium" w:cs="Times New Roman"/>
        </w:rPr>
        <w:t xml:space="preserve">Dichiarazioni, rese ai sensi degli artt. 46 e 47 del D.P.R. 445/2000, per la partecipazione alla </w:t>
      </w:r>
      <w:r w:rsidRPr="004E0F44">
        <w:rPr>
          <w:rFonts w:ascii="Titillium" w:hAnsi="Titillium" w:cs="Times New Roman"/>
          <w:b/>
          <w:bCs/>
          <w:iCs/>
          <w:sz w:val="22"/>
          <w:szCs w:val="22"/>
        </w:rPr>
        <w:t>procedura aperta telematica aperta per l’affidamento quinquennale della fornitura di sistemi di infusione occorrenti all’AOR “San Carlo” di Potenza e all’ASM.</w:t>
      </w:r>
    </w:p>
    <w:p w14:paraId="01609E40" w14:textId="77777777" w:rsidR="00942D00" w:rsidRPr="004E0F44" w:rsidRDefault="00942D00" w:rsidP="00942D00">
      <w:pPr>
        <w:pStyle w:val="Style12"/>
        <w:widowControl/>
        <w:spacing w:before="240" w:line="240" w:lineRule="auto"/>
        <w:ind w:left="1134" w:right="1132"/>
        <w:rPr>
          <w:rFonts w:ascii="Titillium" w:hAnsi="Titillium"/>
          <w:b/>
          <w:i/>
          <w:snapToGrid w:val="0"/>
          <w:sz w:val="22"/>
          <w:szCs w:val="22"/>
        </w:rPr>
      </w:pPr>
      <w:r w:rsidRPr="004E0F44">
        <w:rPr>
          <w:rFonts w:ascii="Titillium" w:hAnsi="Titillium"/>
          <w:b/>
          <w:i/>
          <w:sz w:val="22"/>
          <w:szCs w:val="22"/>
        </w:rPr>
        <w:t xml:space="preserve">SIMOG n. </w:t>
      </w:r>
      <w:r w:rsidRPr="0071111E">
        <w:rPr>
          <w:rFonts w:ascii="Titillium" w:hAnsi="Titillium"/>
          <w:b/>
          <w:i/>
          <w:sz w:val="22"/>
          <w:szCs w:val="22"/>
        </w:rPr>
        <w:t>8960693</w:t>
      </w:r>
    </w:p>
    <w:p w14:paraId="72A3AC87" w14:textId="77777777" w:rsidR="00942D00" w:rsidRPr="00F05DAE" w:rsidRDefault="00942D00" w:rsidP="00942D00">
      <w:pPr>
        <w:pStyle w:val="Style12"/>
        <w:widowControl/>
        <w:spacing w:before="240" w:line="240" w:lineRule="auto"/>
        <w:ind w:left="1134" w:right="1132"/>
        <w:rPr>
          <w:rFonts w:ascii="Garamond" w:hAnsi="Garamond"/>
          <w:b/>
          <w:i/>
          <w:snapToGrid w:val="0"/>
        </w:rPr>
      </w:pPr>
    </w:p>
    <w:p w14:paraId="0C1EA87D" w14:textId="77777777" w:rsidR="00942D00" w:rsidRPr="004E0F44" w:rsidRDefault="00942D00" w:rsidP="00942D00">
      <w:pPr>
        <w:widowControl w:val="0"/>
        <w:autoSpaceDE w:val="0"/>
        <w:autoSpaceDN w:val="0"/>
        <w:rPr>
          <w:rFonts w:ascii="Titillium" w:hAnsi="Titillium" w:cs="Calibri"/>
          <w:color w:val="000000"/>
        </w:rPr>
      </w:pPr>
      <w:r w:rsidRPr="004E0F44">
        <w:rPr>
          <w:rFonts w:ascii="Titillium" w:hAnsi="Titillium" w:cs="Calibri"/>
        </w:rPr>
        <w:t>Il sottoscritto _______________, nato a ______________ il _____________, codice fiscale ______________, domiciliato per la carica presso la sede societaria ove appresso, nella sua qualità di ___________ e legale rappresentante avente i poteri necessari per impegnare la _____________ (codice fiscale ________________, P.IVA ___________) nella presente procedura, con sede in _______________, Via ______________, telefono _____________, fax _______________, e-mail _____@______________, PEC ____________@___________________</w:t>
      </w:r>
    </w:p>
    <w:p w14:paraId="0F328294" w14:textId="77777777" w:rsidR="00942D00" w:rsidRPr="00F05DAE" w:rsidRDefault="00942D00" w:rsidP="00942D00">
      <w:pPr>
        <w:autoSpaceDE w:val="0"/>
        <w:autoSpaceDN w:val="0"/>
        <w:adjustRightInd w:val="0"/>
        <w:rPr>
          <w:rFonts w:ascii="Garamond" w:hAnsi="Garamond" w:cs="Calibri"/>
          <w:color w:val="000000"/>
          <w:sz w:val="24"/>
          <w:szCs w:val="24"/>
        </w:rPr>
      </w:pPr>
    </w:p>
    <w:p w14:paraId="1FC81FF7" w14:textId="77777777" w:rsidR="00942D00" w:rsidRPr="004E0F44" w:rsidRDefault="00942D00" w:rsidP="00942D00">
      <w:pPr>
        <w:autoSpaceDE w:val="0"/>
        <w:autoSpaceDN w:val="0"/>
        <w:adjustRightInd w:val="0"/>
        <w:jc w:val="center"/>
        <w:rPr>
          <w:rFonts w:ascii="Titillium" w:hAnsi="Titillium" w:cs="Calibri"/>
          <w:b/>
          <w:color w:val="000000"/>
          <w:sz w:val="24"/>
          <w:szCs w:val="24"/>
        </w:rPr>
      </w:pPr>
      <w:r w:rsidRPr="004E0F44">
        <w:rPr>
          <w:rFonts w:ascii="Titillium" w:hAnsi="Titillium" w:cs="Calibri"/>
          <w:b/>
          <w:color w:val="000000"/>
          <w:sz w:val="24"/>
          <w:szCs w:val="24"/>
        </w:rPr>
        <w:t>DICHIARA SOTTO LA PROPRIA RESPONSABILITÀ</w:t>
      </w:r>
    </w:p>
    <w:p w14:paraId="5B7F030C" w14:textId="77777777" w:rsidR="00942D00" w:rsidRPr="00F05DAE" w:rsidRDefault="00942D00" w:rsidP="00942D00">
      <w:pPr>
        <w:autoSpaceDE w:val="0"/>
        <w:autoSpaceDN w:val="0"/>
        <w:adjustRightInd w:val="0"/>
        <w:rPr>
          <w:rFonts w:ascii="Garamond" w:hAnsi="Garamond" w:cs="Calibri"/>
          <w:sz w:val="24"/>
          <w:szCs w:val="24"/>
        </w:rPr>
      </w:pPr>
    </w:p>
    <w:p w14:paraId="32A4C5AB" w14:textId="77777777" w:rsidR="00942D00" w:rsidRPr="004E0F44" w:rsidRDefault="00942D00" w:rsidP="00942D00">
      <w:pPr>
        <w:numPr>
          <w:ilvl w:val="0"/>
          <w:numId w:val="1"/>
        </w:numPr>
        <w:autoSpaceDE w:val="0"/>
        <w:autoSpaceDN w:val="0"/>
        <w:adjustRightInd w:val="0"/>
        <w:spacing w:before="0" w:after="80" w:line="259" w:lineRule="auto"/>
        <w:contextualSpacing/>
        <w:rPr>
          <w:rFonts w:ascii="Titillium" w:hAnsi="Titillium" w:cs="Calibri"/>
        </w:rPr>
      </w:pPr>
      <w:r w:rsidRPr="004E0F44">
        <w:rPr>
          <w:rFonts w:ascii="Titillium" w:hAnsi="Titillium" w:cs="Calibri"/>
        </w:rPr>
        <w:t>di non avere prodotto false comunicazioni sociali di cui agli articoli 2621 e 2622 del Codice civile (</w:t>
      </w:r>
      <w:r w:rsidRPr="004E0F44">
        <w:rPr>
          <w:rFonts w:ascii="Titillium" w:hAnsi="Titillium" w:cs="Calibri"/>
          <w:i/>
        </w:rPr>
        <w:t>art. 80 comma 1 lett. b-bis) del Codice</w:t>
      </w:r>
      <w:r w:rsidRPr="004E0F44">
        <w:rPr>
          <w:rFonts w:ascii="Titillium" w:hAnsi="Titillium" w:cs="Calibri"/>
        </w:rPr>
        <w:t>);</w:t>
      </w:r>
    </w:p>
    <w:p w14:paraId="763FF095" w14:textId="77777777" w:rsidR="00942D00" w:rsidRPr="004E0F44" w:rsidRDefault="00942D00" w:rsidP="00942D00">
      <w:pPr>
        <w:numPr>
          <w:ilvl w:val="0"/>
          <w:numId w:val="1"/>
        </w:numPr>
        <w:autoSpaceDE w:val="0"/>
        <w:autoSpaceDN w:val="0"/>
        <w:adjustRightInd w:val="0"/>
        <w:spacing w:before="0" w:after="80" w:line="259" w:lineRule="auto"/>
        <w:contextualSpacing/>
        <w:rPr>
          <w:rFonts w:ascii="Titillium" w:hAnsi="Titillium" w:cs="Calibri"/>
        </w:rPr>
      </w:pPr>
      <w:r w:rsidRPr="004E0F44">
        <w:rPr>
          <w:rFonts w:ascii="Titillium" w:hAnsi="Titillium" w:cs="Calibri"/>
        </w:rPr>
        <w:t>di non essere stato sottoposto a fallimento, di non trovarsi in stato di liquidazione coatta, di concordato preventivo e che non sia in corso nei suoi confronti un procedimento per la dichiarazione di una di tali situazioni, fermo restando quanto previsto dagli articoli 110 del presente Codice e 186-bis del regio decreto 16 marzo 1942, n. 267 (</w:t>
      </w:r>
      <w:r w:rsidRPr="004E0F44">
        <w:rPr>
          <w:rFonts w:ascii="Titillium" w:hAnsi="Titillium" w:cs="Calibri"/>
          <w:i/>
        </w:rPr>
        <w:t>art. 80 comma 5 lett. b) del Codice</w:t>
      </w:r>
      <w:r w:rsidRPr="004E0F44">
        <w:rPr>
          <w:rFonts w:ascii="Titillium" w:hAnsi="Titillium" w:cs="Calibri"/>
        </w:rPr>
        <w:t>);</w:t>
      </w:r>
    </w:p>
    <w:p w14:paraId="0DFD7E91" w14:textId="77777777" w:rsidR="00942D00" w:rsidRPr="004E0F44" w:rsidRDefault="00942D00" w:rsidP="00942D00">
      <w:pPr>
        <w:numPr>
          <w:ilvl w:val="0"/>
          <w:numId w:val="1"/>
        </w:numPr>
        <w:autoSpaceDE w:val="0"/>
        <w:autoSpaceDN w:val="0"/>
        <w:adjustRightInd w:val="0"/>
        <w:spacing w:before="0" w:after="80" w:line="259" w:lineRule="auto"/>
        <w:contextualSpacing/>
        <w:rPr>
          <w:rFonts w:ascii="Titillium" w:hAnsi="Titillium" w:cs="Calibri"/>
        </w:rPr>
      </w:pPr>
      <w:r w:rsidRPr="004E0F44">
        <w:rPr>
          <w:rFonts w:ascii="Titillium" w:hAnsi="Titillium" w:cs="Arial"/>
        </w:rPr>
        <w:t xml:space="preserve">di non aver tentato di influenzare indebitamente il processo decisionale della stazione appaltante e di non aver tentato di ottenere informazioni riservate a fini di proprio vantaggio e di non aver fornito, anche per negligenza, informazioni false o fuorvianti suscettibili di influenzare le decisioni sull'esclusione, la selezione o l'aggiudicazione, e di non aver omesso le informazioni </w:t>
      </w:r>
      <w:r w:rsidRPr="004E0F44">
        <w:rPr>
          <w:rFonts w:ascii="Titillium" w:hAnsi="Titillium" w:cs="Arial"/>
        </w:rPr>
        <w:lastRenderedPageBreak/>
        <w:t>dovute ai fini del corretto svolgimento della presente procedura di selezione (</w:t>
      </w:r>
      <w:r w:rsidRPr="004E0F44">
        <w:rPr>
          <w:rFonts w:ascii="Titillium" w:hAnsi="Titillium" w:cs="Arial"/>
          <w:i/>
        </w:rPr>
        <w:t>art. 80 comma 5 lett. c-bis) del Codice</w:t>
      </w:r>
      <w:r w:rsidRPr="004E0F44">
        <w:rPr>
          <w:rFonts w:ascii="Titillium" w:hAnsi="Titillium" w:cs="Arial"/>
        </w:rPr>
        <w:t>);</w:t>
      </w:r>
    </w:p>
    <w:p w14:paraId="50ED2CA8" w14:textId="77777777" w:rsidR="00942D00" w:rsidRPr="004E0F44" w:rsidRDefault="00942D00" w:rsidP="00942D00">
      <w:pPr>
        <w:numPr>
          <w:ilvl w:val="0"/>
          <w:numId w:val="1"/>
        </w:numPr>
        <w:autoSpaceDE w:val="0"/>
        <w:autoSpaceDN w:val="0"/>
        <w:adjustRightInd w:val="0"/>
        <w:spacing w:before="0" w:after="80" w:line="259" w:lineRule="auto"/>
        <w:contextualSpacing/>
        <w:rPr>
          <w:rFonts w:ascii="Titillium" w:hAnsi="Titillium" w:cs="Calibri"/>
        </w:rPr>
      </w:pPr>
      <w:r w:rsidRPr="004E0F44">
        <w:rPr>
          <w:rFonts w:ascii="Titillium" w:hAnsi="Titillium" w:cs="Arial"/>
        </w:rPr>
        <w:t>di non aver dimostrato significative o persistenti carenze nell'esecuzione di un precedente contratto di appalto o di concessione che ne hanno causato la risoluzione per inadempimento ovvero la condanna al risarcimento del danno o altre sanzioni comparabili (</w:t>
      </w:r>
      <w:r w:rsidRPr="004E0F44">
        <w:rPr>
          <w:rFonts w:ascii="Titillium" w:hAnsi="Titillium" w:cs="Arial"/>
          <w:i/>
        </w:rPr>
        <w:t>art. 80 comma 5 lett. c-ter) del Codice)</w:t>
      </w:r>
      <w:r w:rsidRPr="004E0F44">
        <w:rPr>
          <w:rFonts w:ascii="Titillium" w:hAnsi="Titillium" w:cs="Arial"/>
        </w:rPr>
        <w:t>;</w:t>
      </w:r>
    </w:p>
    <w:p w14:paraId="35D71AC6" w14:textId="77777777" w:rsidR="00942D00" w:rsidRPr="004E0F44" w:rsidRDefault="00942D00" w:rsidP="00942D00">
      <w:pPr>
        <w:numPr>
          <w:ilvl w:val="0"/>
          <w:numId w:val="1"/>
        </w:numPr>
        <w:autoSpaceDE w:val="0"/>
        <w:autoSpaceDN w:val="0"/>
        <w:adjustRightInd w:val="0"/>
        <w:spacing w:before="0" w:after="80" w:line="259" w:lineRule="auto"/>
        <w:contextualSpacing/>
        <w:rPr>
          <w:rFonts w:ascii="Titillium" w:hAnsi="Titillium" w:cs="Calibri"/>
        </w:rPr>
      </w:pPr>
      <w:r w:rsidRPr="004E0F44">
        <w:rPr>
          <w:rFonts w:ascii="Titillium" w:hAnsi="Titillium" w:cs="Calibri"/>
        </w:rPr>
        <w:t>di non aver commesso grave inadempimento nei confronti di uno o più subappaltatori, riconosciuto o accertato con sentenza passata in giudicato (</w:t>
      </w:r>
      <w:r w:rsidRPr="004E0F44">
        <w:rPr>
          <w:rFonts w:ascii="Titillium" w:hAnsi="Titillium" w:cs="Calibri"/>
          <w:i/>
        </w:rPr>
        <w:t>art. 80 comma 5 lett. c-quater) del Codice</w:t>
      </w:r>
      <w:r w:rsidRPr="004E0F44">
        <w:rPr>
          <w:rFonts w:ascii="Titillium" w:hAnsi="Titillium" w:cs="Calibri"/>
        </w:rPr>
        <w:t>);</w:t>
      </w:r>
    </w:p>
    <w:p w14:paraId="182AED6E" w14:textId="77777777" w:rsidR="00942D00" w:rsidRPr="004E0F44" w:rsidRDefault="00942D00" w:rsidP="00942D00">
      <w:pPr>
        <w:numPr>
          <w:ilvl w:val="0"/>
          <w:numId w:val="1"/>
        </w:numPr>
        <w:autoSpaceDE w:val="0"/>
        <w:autoSpaceDN w:val="0"/>
        <w:adjustRightInd w:val="0"/>
        <w:spacing w:before="0" w:after="80" w:line="259" w:lineRule="auto"/>
        <w:contextualSpacing/>
        <w:rPr>
          <w:rFonts w:ascii="Titillium" w:hAnsi="Titillium" w:cs="Calibri"/>
        </w:rPr>
      </w:pPr>
      <w:r w:rsidRPr="004E0F44">
        <w:rPr>
          <w:rFonts w:ascii="Titillium" w:hAnsi="Titillium" w:cs="Arial"/>
        </w:rPr>
        <w:t>di non aver presentato nella procedura di gara in corso e negli affidamenti di subappalti documentazione o dichiarazioni non veritiere (</w:t>
      </w:r>
      <w:r w:rsidRPr="004E0F44">
        <w:rPr>
          <w:rFonts w:ascii="Titillium" w:hAnsi="Titillium" w:cs="Arial"/>
          <w:i/>
        </w:rPr>
        <w:t>art. 80 comma 5 lett. f-bis) del Codice</w:t>
      </w:r>
      <w:r w:rsidRPr="004E0F44">
        <w:rPr>
          <w:rFonts w:ascii="Titillium" w:hAnsi="Titillium" w:cs="Arial"/>
        </w:rPr>
        <w:t>);</w:t>
      </w:r>
    </w:p>
    <w:p w14:paraId="41E36416" w14:textId="77777777" w:rsidR="00942D00" w:rsidRPr="004E0F44" w:rsidRDefault="00942D00" w:rsidP="00942D00">
      <w:pPr>
        <w:numPr>
          <w:ilvl w:val="0"/>
          <w:numId w:val="1"/>
        </w:numPr>
        <w:autoSpaceDE w:val="0"/>
        <w:autoSpaceDN w:val="0"/>
        <w:adjustRightInd w:val="0"/>
        <w:spacing w:before="0" w:after="80" w:line="259" w:lineRule="auto"/>
        <w:contextualSpacing/>
        <w:rPr>
          <w:rFonts w:ascii="Titillium" w:hAnsi="Titillium" w:cs="Calibri"/>
        </w:rPr>
      </w:pPr>
      <w:r w:rsidRPr="004E0F44">
        <w:rPr>
          <w:rFonts w:ascii="Titillium" w:hAnsi="Titillium" w:cs="Arial"/>
        </w:rPr>
        <w:t>di non essere iscritto nel casellario informatico tenuto dall’Osservatorio dell’ANAC per aver presentato false dichiarazioni o falsa documentazione nelle procedure di gara e negli affidamenti di subappalto (</w:t>
      </w:r>
      <w:r w:rsidRPr="004E0F44">
        <w:rPr>
          <w:rFonts w:ascii="Titillium" w:hAnsi="Titillium" w:cs="Arial"/>
          <w:i/>
        </w:rPr>
        <w:t>art. 80 comma 5 lett. f-ter) del Codice</w:t>
      </w:r>
      <w:r w:rsidRPr="004E0F44">
        <w:rPr>
          <w:rFonts w:ascii="Titillium" w:hAnsi="Titillium" w:cs="Arial"/>
        </w:rPr>
        <w:t>).</w:t>
      </w:r>
    </w:p>
    <w:p w14:paraId="4B8372A3" w14:textId="77777777" w:rsidR="00942D00" w:rsidRPr="004E0F44" w:rsidRDefault="00942D00" w:rsidP="00942D00">
      <w:pPr>
        <w:autoSpaceDE w:val="0"/>
        <w:autoSpaceDN w:val="0"/>
        <w:adjustRightInd w:val="0"/>
        <w:ind w:left="709"/>
        <w:rPr>
          <w:rFonts w:ascii="Titillium" w:hAnsi="Titillium" w:cs="Calibri"/>
        </w:rPr>
      </w:pPr>
    </w:p>
    <w:p w14:paraId="0CD1BE78" w14:textId="77777777" w:rsidR="00942D00" w:rsidRPr="004E0F44" w:rsidRDefault="00942D00" w:rsidP="00942D00">
      <w:pPr>
        <w:autoSpaceDE w:val="0"/>
        <w:autoSpaceDN w:val="0"/>
        <w:adjustRightInd w:val="0"/>
        <w:ind w:left="709"/>
        <w:rPr>
          <w:rFonts w:ascii="Titillium" w:hAnsi="Titillium" w:cs="Calibri"/>
        </w:rPr>
      </w:pPr>
    </w:p>
    <w:p w14:paraId="6584C09B" w14:textId="77777777" w:rsidR="00942D00" w:rsidRPr="004E0F44" w:rsidRDefault="00942D00" w:rsidP="00942D00">
      <w:pPr>
        <w:autoSpaceDE w:val="0"/>
        <w:autoSpaceDN w:val="0"/>
        <w:adjustRightInd w:val="0"/>
        <w:ind w:left="709"/>
        <w:rPr>
          <w:rFonts w:ascii="Titillium" w:hAnsi="Titillium" w:cs="Calibri"/>
        </w:rPr>
      </w:pPr>
    </w:p>
    <w:tbl>
      <w:tblPr>
        <w:tblStyle w:val="Grigliatabella"/>
        <w:tblW w:w="2560" w:type="pct"/>
        <w:tblInd w:w="5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4450"/>
      </w:tblGrid>
      <w:tr w:rsidR="00942D00" w:rsidRPr="004E0F44" w14:paraId="3E87EF38" w14:textId="77777777" w:rsidTr="00E46C2C">
        <w:trPr>
          <w:cantSplit/>
          <w:trHeight w:val="524"/>
        </w:trPr>
        <w:tc>
          <w:tcPr>
            <w:tcW w:w="491" w:type="pct"/>
          </w:tcPr>
          <w:p w14:paraId="30DDF14C" w14:textId="77777777" w:rsidR="00942D00" w:rsidRPr="004E0F44" w:rsidRDefault="00942D00" w:rsidP="00E46C2C">
            <w:pPr>
              <w:autoSpaceDE w:val="0"/>
              <w:autoSpaceDN w:val="0"/>
              <w:adjustRightInd w:val="0"/>
              <w:spacing w:before="0"/>
              <w:contextualSpacing/>
              <w:rPr>
                <w:rFonts w:ascii="Titillium" w:hAnsi="Titillium" w:cs="Calibri"/>
              </w:rPr>
            </w:pPr>
          </w:p>
        </w:tc>
        <w:tc>
          <w:tcPr>
            <w:tcW w:w="4509" w:type="pct"/>
          </w:tcPr>
          <w:p w14:paraId="4D7EB52B" w14:textId="77777777" w:rsidR="00942D00" w:rsidRPr="004E0F44" w:rsidRDefault="00942D00" w:rsidP="00E46C2C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="Titillium" w:hAnsi="Titillium" w:cs="Calibri"/>
              </w:rPr>
            </w:pPr>
            <w:r w:rsidRPr="004E0F44">
              <w:rPr>
                <w:rFonts w:ascii="Titillium" w:hAnsi="Titillium" w:cs="Calibri"/>
              </w:rPr>
              <w:t>IL DICHIARANTE</w:t>
            </w:r>
          </w:p>
          <w:p w14:paraId="10F9142E" w14:textId="77777777" w:rsidR="00942D00" w:rsidRPr="004E0F44" w:rsidRDefault="00942D00" w:rsidP="00E46C2C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="Titillium" w:hAnsi="Titillium" w:cs="Calibri"/>
                <w:color w:val="000000"/>
              </w:rPr>
            </w:pPr>
            <w:r w:rsidRPr="004E0F44">
              <w:rPr>
                <w:rFonts w:ascii="Titillium" w:hAnsi="Titillium" w:cs="Calibri"/>
              </w:rPr>
              <w:t>(</w:t>
            </w:r>
            <w:r w:rsidRPr="004E0F44">
              <w:rPr>
                <w:rFonts w:ascii="Titillium" w:hAnsi="Titillium" w:cs="Calibri"/>
                <w:i/>
              </w:rPr>
              <w:t>Firmato digitalmente</w:t>
            </w:r>
            <w:r w:rsidRPr="004E0F44">
              <w:rPr>
                <w:rFonts w:ascii="Titillium" w:hAnsi="Titillium" w:cs="Calibri"/>
              </w:rPr>
              <w:t>)</w:t>
            </w:r>
          </w:p>
        </w:tc>
      </w:tr>
    </w:tbl>
    <w:p w14:paraId="7FF10E42" w14:textId="77777777" w:rsidR="00942D00" w:rsidRPr="00F05DAE" w:rsidRDefault="00942D00" w:rsidP="00942D00">
      <w:pPr>
        <w:autoSpaceDE w:val="0"/>
        <w:autoSpaceDN w:val="0"/>
        <w:adjustRightInd w:val="0"/>
        <w:ind w:left="4248" w:firstLine="708"/>
        <w:rPr>
          <w:rFonts w:ascii="Garamond" w:hAnsi="Garamond" w:cs="Arial"/>
          <w:b/>
          <w:sz w:val="24"/>
          <w:szCs w:val="24"/>
        </w:rPr>
      </w:pPr>
    </w:p>
    <w:p w14:paraId="381C010E" w14:textId="77777777" w:rsidR="00E65A7E" w:rsidRDefault="00E65A7E"/>
    <w:sectPr w:rsidR="00E65A7E" w:rsidSect="00C65CFD">
      <w:headerReference w:type="default" r:id="rId5"/>
      <w:footerReference w:type="default" r:id="rId6"/>
      <w:headerReference w:type="first" r:id="rId7"/>
      <w:pgSz w:w="11906" w:h="16838" w:code="9"/>
      <w:pgMar w:top="1701" w:right="1134" w:bottom="1418" w:left="1134" w:header="680" w:footer="68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6772F" w14:textId="77777777" w:rsidR="004E0F44" w:rsidRDefault="00000000" w:rsidP="004E0F44">
    <w:pPr>
      <w:jc w:val="center"/>
      <w:rPr>
        <w:rFonts w:ascii="Titillium" w:hAnsi="Titillium"/>
        <w:sz w:val="16"/>
        <w:szCs w:val="16"/>
      </w:rPr>
    </w:pPr>
  </w:p>
  <w:p w14:paraId="3487023E" w14:textId="77777777" w:rsidR="0071111E" w:rsidRPr="0071111E" w:rsidRDefault="00000000" w:rsidP="0071111E">
    <w:pPr>
      <w:jc w:val="center"/>
      <w:rPr>
        <w:rFonts w:ascii="Titillium" w:hAnsi="Titillium"/>
        <w:sz w:val="16"/>
        <w:szCs w:val="16"/>
      </w:rPr>
    </w:pPr>
    <w:r w:rsidRPr="0071111E">
      <w:rPr>
        <w:rFonts w:ascii="Titillium" w:hAnsi="Titillium"/>
        <w:sz w:val="16"/>
        <w:szCs w:val="16"/>
      </w:rPr>
      <w:t xml:space="preserve">Procedura telematica aperta per l’affidamento </w:t>
    </w:r>
    <w:r w:rsidRPr="0071111E">
      <w:rPr>
        <w:rFonts w:ascii="Titillium" w:hAnsi="Titillium"/>
        <w:sz w:val="16"/>
        <w:szCs w:val="16"/>
      </w:rPr>
      <w:t>quinquennale della fornitura di sistemi di infusione occorrenti all’AOR “San Carlo” di Potenza e all’ASM.</w:t>
    </w:r>
  </w:p>
  <w:p w14:paraId="3A6DD8E5" w14:textId="77777777" w:rsidR="004E0F44" w:rsidRDefault="00000000" w:rsidP="0071111E">
    <w:pPr>
      <w:jc w:val="center"/>
      <w:rPr>
        <w:rFonts w:ascii="Titillium" w:hAnsi="Titillium"/>
        <w:sz w:val="16"/>
        <w:szCs w:val="16"/>
      </w:rPr>
    </w:pPr>
    <w:r w:rsidRPr="0071111E">
      <w:rPr>
        <w:rFonts w:ascii="Titillium" w:hAnsi="Titillium"/>
        <w:sz w:val="16"/>
        <w:szCs w:val="16"/>
      </w:rPr>
      <w:t>SIMOG N. 8960693</w:t>
    </w:r>
  </w:p>
  <w:p w14:paraId="232690E6" w14:textId="77777777" w:rsidR="004E0F44" w:rsidRDefault="00000000" w:rsidP="004E0F44">
    <w:pPr>
      <w:pStyle w:val="Pidipagina"/>
      <w:spacing w:after="100"/>
      <w:jc w:val="right"/>
    </w:pPr>
    <w:r>
      <w:rPr>
        <w:rFonts w:ascii="Titillium" w:hAnsi="Titillium"/>
        <w:sz w:val="16"/>
        <w:szCs w:val="16"/>
      </w:rPr>
      <w:t xml:space="preserve">Pag. </w:t>
    </w:r>
    <w:r>
      <w:rPr>
        <w:rFonts w:ascii="Titillium" w:hAnsi="Titillium"/>
        <w:b/>
        <w:bCs/>
        <w:sz w:val="16"/>
        <w:szCs w:val="16"/>
      </w:rPr>
      <w:fldChar w:fldCharType="begin"/>
    </w:r>
    <w:r>
      <w:rPr>
        <w:rFonts w:ascii="Titillium" w:hAnsi="Titillium"/>
        <w:b/>
        <w:bCs/>
        <w:sz w:val="16"/>
        <w:szCs w:val="16"/>
      </w:rPr>
      <w:instrText>PAGE</w:instrText>
    </w:r>
    <w:r>
      <w:rPr>
        <w:rFonts w:ascii="Titillium" w:hAnsi="Titillium"/>
        <w:b/>
        <w:bCs/>
        <w:sz w:val="16"/>
        <w:szCs w:val="16"/>
      </w:rPr>
      <w:fldChar w:fldCharType="separate"/>
    </w:r>
    <w:r>
      <w:rPr>
        <w:rFonts w:ascii="Titillium" w:hAnsi="Titillium"/>
        <w:b/>
        <w:bCs/>
        <w:sz w:val="16"/>
        <w:szCs w:val="16"/>
      </w:rPr>
      <w:t>7</w:t>
    </w:r>
    <w:r>
      <w:rPr>
        <w:rFonts w:ascii="Titillium" w:hAnsi="Titillium"/>
        <w:b/>
        <w:bCs/>
        <w:sz w:val="16"/>
        <w:szCs w:val="16"/>
      </w:rPr>
      <w:fldChar w:fldCharType="end"/>
    </w:r>
    <w:r>
      <w:rPr>
        <w:rFonts w:ascii="Titillium" w:hAnsi="Titillium"/>
        <w:sz w:val="16"/>
        <w:szCs w:val="16"/>
      </w:rPr>
      <w:t xml:space="preserve"> a </w:t>
    </w:r>
    <w:r>
      <w:rPr>
        <w:rFonts w:ascii="Titillium" w:hAnsi="Titillium"/>
        <w:b/>
        <w:bCs/>
        <w:sz w:val="16"/>
        <w:szCs w:val="16"/>
      </w:rPr>
      <w:fldChar w:fldCharType="begin"/>
    </w:r>
    <w:r>
      <w:rPr>
        <w:rFonts w:ascii="Titillium" w:hAnsi="Titillium"/>
        <w:b/>
        <w:bCs/>
        <w:sz w:val="16"/>
        <w:szCs w:val="16"/>
      </w:rPr>
      <w:instrText>NUMPAGES</w:instrText>
    </w:r>
    <w:r>
      <w:rPr>
        <w:rFonts w:ascii="Titillium" w:hAnsi="Titillium"/>
        <w:b/>
        <w:bCs/>
        <w:sz w:val="16"/>
        <w:szCs w:val="16"/>
      </w:rPr>
      <w:fldChar w:fldCharType="separate"/>
    </w:r>
    <w:r>
      <w:rPr>
        <w:rFonts w:ascii="Titillium" w:hAnsi="Titillium"/>
        <w:b/>
        <w:bCs/>
        <w:sz w:val="16"/>
        <w:szCs w:val="16"/>
      </w:rPr>
      <w:t>7</w:t>
    </w:r>
    <w:r>
      <w:rPr>
        <w:rFonts w:ascii="Titillium" w:hAnsi="Titillium"/>
        <w:b/>
        <w:bCs/>
        <w:sz w:val="16"/>
        <w:szCs w:val="16"/>
      </w:rPr>
      <w:fldChar w:fldCharType="end"/>
    </w:r>
  </w:p>
  <w:p w14:paraId="19919AE1" w14:textId="77777777" w:rsidR="008F4278" w:rsidRPr="004E0F44" w:rsidRDefault="00000000" w:rsidP="004E0F44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EECA" w14:textId="77777777" w:rsidR="004E0F44" w:rsidRPr="00540A88" w:rsidRDefault="00000000" w:rsidP="004E0F44">
    <w:pPr>
      <w:tabs>
        <w:tab w:val="center" w:pos="4819"/>
        <w:tab w:val="right" w:pos="9638"/>
      </w:tabs>
      <w:jc w:val="center"/>
      <w:rPr>
        <w:rFonts w:ascii="Titillium" w:hAnsi="Titillium"/>
        <w:sz w:val="16"/>
        <w:szCs w:val="16"/>
      </w:rPr>
    </w:pPr>
    <w:r w:rsidRPr="00540A88">
      <w:rPr>
        <w:rFonts w:ascii="Titillium" w:hAnsi="Titillium"/>
        <w:sz w:val="16"/>
        <w:szCs w:val="16"/>
      </w:rPr>
      <w:t>REGIONE BASILICATA</w:t>
    </w:r>
  </w:p>
  <w:p w14:paraId="34219C1E" w14:textId="77777777" w:rsidR="004E0F44" w:rsidRPr="00540A88" w:rsidRDefault="00000000" w:rsidP="004E0F44">
    <w:pPr>
      <w:tabs>
        <w:tab w:val="center" w:pos="4819"/>
        <w:tab w:val="right" w:pos="9638"/>
      </w:tabs>
      <w:jc w:val="center"/>
      <w:rPr>
        <w:rFonts w:ascii="Titillium" w:hAnsi="Titillium"/>
        <w:sz w:val="16"/>
        <w:szCs w:val="16"/>
      </w:rPr>
    </w:pPr>
    <w:r w:rsidRPr="00540A88">
      <w:rPr>
        <w:rFonts w:ascii="Titillium" w:hAnsi="Titillium"/>
        <w:sz w:val="16"/>
        <w:szCs w:val="16"/>
      </w:rPr>
      <w:t>Stazione Unica Appaltante – Ufficio Centrale di Committenza e Soggetto Aggregatore</w:t>
    </w:r>
  </w:p>
  <w:p w14:paraId="086EF17C" w14:textId="77777777" w:rsidR="004E0F44" w:rsidRDefault="00000000" w:rsidP="004E0F44">
    <w:pPr>
      <w:tabs>
        <w:tab w:val="center" w:pos="4819"/>
        <w:tab w:val="right" w:pos="9638"/>
      </w:tabs>
      <w:jc w:val="center"/>
      <w:rPr>
        <w:rFonts w:ascii="Titillium" w:hAnsi="Titillium"/>
        <w:sz w:val="16"/>
        <w:szCs w:val="16"/>
      </w:rPr>
    </w:pPr>
    <w:r w:rsidRPr="00540A88">
      <w:rPr>
        <w:rFonts w:ascii="Titillium" w:hAnsi="Titillium"/>
        <w:sz w:val="16"/>
        <w:szCs w:val="16"/>
      </w:rPr>
      <w:t xml:space="preserve">Via Vincenzo </w:t>
    </w:r>
    <w:proofErr w:type="spellStart"/>
    <w:r w:rsidRPr="00540A88">
      <w:rPr>
        <w:rFonts w:ascii="Titillium" w:hAnsi="Titillium"/>
        <w:sz w:val="16"/>
        <w:szCs w:val="16"/>
      </w:rPr>
      <w:t>Verrastro</w:t>
    </w:r>
    <w:proofErr w:type="spellEnd"/>
    <w:r w:rsidRPr="00540A88">
      <w:rPr>
        <w:rFonts w:ascii="Titillium" w:hAnsi="Titillium"/>
        <w:sz w:val="16"/>
        <w:szCs w:val="16"/>
      </w:rPr>
      <w:t>, 4 – 85100 Potenza</w:t>
    </w:r>
  </w:p>
  <w:p w14:paraId="2332D992" w14:textId="77777777" w:rsidR="008F4278" w:rsidRPr="004E0F44" w:rsidRDefault="00000000" w:rsidP="004E0F4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0D9B0" w14:textId="77777777" w:rsidR="008F4278" w:rsidRDefault="00000000" w:rsidP="00B778EC">
    <w:pPr>
      <w:pStyle w:val="Intestazione"/>
      <w:jc w:val="center"/>
    </w:pPr>
    <w:r>
      <w:rPr>
        <w:noProof/>
      </w:rPr>
      <w:drawing>
        <wp:inline distT="0" distB="0" distL="0" distR="0" wp14:anchorId="2E9F9B0E" wp14:editId="3C0C46F2">
          <wp:extent cx="1809750" cy="857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856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D00"/>
    <w:rsid w:val="00942D00"/>
    <w:rsid w:val="00E6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44D6"/>
  <w15:chartTrackingRefBased/>
  <w15:docId w15:val="{BC8B659D-B5EA-481D-B987-D06969B2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2D00"/>
    <w:pPr>
      <w:spacing w:before="60" w:after="0" w:line="240" w:lineRule="auto"/>
      <w:jc w:val="both"/>
    </w:pPr>
    <w:rPr>
      <w:rFonts w:ascii="Calibri" w:eastAsia="Cambria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942D00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942D00"/>
    <w:rPr>
      <w:rFonts w:ascii="Calibri" w:eastAsia="Cambria" w:hAnsi="Calibri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42D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D00"/>
    <w:rPr>
      <w:rFonts w:ascii="Calibri" w:eastAsia="Cambria" w:hAnsi="Calibri" w:cs="Times New Roman"/>
      <w:lang w:eastAsia="it-IT"/>
    </w:rPr>
  </w:style>
  <w:style w:type="table" w:styleId="Grigliatabella">
    <w:name w:val="Table Grid"/>
    <w:basedOn w:val="Tabellanormale"/>
    <w:rsid w:val="00942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Normale"/>
    <w:uiPriority w:val="99"/>
    <w:rsid w:val="00942D00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942D00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Locicero Venera</dc:creator>
  <cp:keywords/>
  <dc:description/>
  <cp:lastModifiedBy>Locicero Venera</cp:lastModifiedBy>
  <cp:revision>1</cp:revision>
  <dcterms:created xsi:type="dcterms:W3CDTF">2023-02-22T10:36:00Z</dcterms:created>
  <dcterms:modified xsi:type="dcterms:W3CDTF">2023-02-22T10:37:00Z</dcterms:modified>
</cp:coreProperties>
</file>