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26CB9B06" w14:textId="2DE1EF70" w:rsidR="00192E4B" w:rsidRDefault="00CE564A" w:rsidP="00CE564A">
      <w:pPr>
        <w:jc w:val="center"/>
        <w:rPr>
          <w:rFonts w:ascii="Palatino Linotype" w:hAnsi="Palatino Linotype"/>
          <w:b/>
          <w:sz w:val="32"/>
          <w:szCs w:val="32"/>
        </w:rPr>
      </w:pPr>
      <w:r w:rsidRPr="00CE564A">
        <w:rPr>
          <w:rFonts w:ascii="Palatino Linotype" w:hAnsi="Palatino Linotype"/>
          <w:b/>
          <w:sz w:val="32"/>
          <w:szCs w:val="32"/>
        </w:rPr>
        <w:t xml:space="preserve">GARA TELEMATICA MEDIANTE PROCEDURA APERTA PER L’AFFIDAMENTO DELLA FORNITURA DI </w:t>
      </w:r>
      <w:r w:rsidR="0074633B" w:rsidRPr="0074633B">
        <w:rPr>
          <w:rFonts w:ascii="Palatino Linotype" w:hAnsi="Palatino Linotype"/>
          <w:b/>
          <w:sz w:val="32"/>
          <w:szCs w:val="32"/>
        </w:rPr>
        <w:t>PANNOLONI, MUTANDE E TRAVERSE</w:t>
      </w:r>
      <w:r w:rsidR="0074633B" w:rsidRPr="00CE564A">
        <w:rPr>
          <w:rFonts w:ascii="Palatino Linotype" w:hAnsi="Palatino Linotype"/>
          <w:b/>
          <w:sz w:val="32"/>
          <w:szCs w:val="32"/>
        </w:rPr>
        <w:t xml:space="preserve"> PER LE AZIENDE SANITARIE DELLA REGIONE </w:t>
      </w:r>
      <w:r w:rsidRPr="00CE564A">
        <w:rPr>
          <w:rFonts w:ascii="Palatino Linotype" w:hAnsi="Palatino Linotype"/>
          <w:b/>
          <w:sz w:val="32"/>
          <w:szCs w:val="32"/>
        </w:rPr>
        <w:t>BASILICATA PER LA DURATA DI ANNI 5</w:t>
      </w:r>
    </w:p>
    <w:p w14:paraId="41003F83" w14:textId="77777777" w:rsidR="00CE564A" w:rsidRDefault="00CE564A" w:rsidP="00B03BA7">
      <w:pPr>
        <w:jc w:val="both"/>
        <w:rPr>
          <w:rFonts w:ascii="Palatino Linotype" w:hAnsi="Palatino Linotype" w:cs="Trebuchet MS"/>
          <w:b/>
          <w:bCs/>
        </w:rPr>
      </w:pPr>
    </w:p>
    <w:p w14:paraId="58C7665A" w14:textId="69CE1F32" w:rsidR="00742E48" w:rsidRPr="006D66A2" w:rsidRDefault="00742E48" w:rsidP="00742E48">
      <w:pPr>
        <w:jc w:val="center"/>
        <w:rPr>
          <w:rFonts w:ascii="Palatino Linotype" w:hAnsi="Palatino Linotype"/>
          <w:b/>
        </w:rPr>
      </w:pPr>
      <w:r w:rsidRPr="00E20405">
        <w:rPr>
          <w:rFonts w:ascii="Palatino Linotype" w:hAnsi="Palatino Linotype" w:cs="Trebuchet MS"/>
          <w:b/>
          <w:bCs/>
        </w:rPr>
        <w:t xml:space="preserve">SIMOG n. gara </w:t>
      </w:r>
      <w:r w:rsidR="00664FD1" w:rsidRPr="00664FD1">
        <w:rPr>
          <w:rFonts w:ascii="Palatino Linotype" w:hAnsi="Palatino Linotype" w:cs="Trebuchet MS"/>
          <w:b/>
          <w:bCs/>
        </w:rPr>
        <w:t>7632145</w:t>
      </w:r>
      <w:bookmarkStart w:id="0" w:name="_GoBack"/>
      <w:bookmarkEnd w:id="0"/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77777777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486E4AC0" w:rsidR="00295423" w:rsidRPr="00630867" w:rsidRDefault="00295423" w:rsidP="00CE564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630867">
        <w:rPr>
          <w:rFonts w:ascii="Palatino Linotype" w:eastAsia="New Aster" w:hAnsi="Palatino Linotype"/>
          <w:sz w:val="20"/>
        </w:rPr>
        <w:t>che</w:t>
      </w:r>
      <w:proofErr w:type="gramEnd"/>
      <w:r w:rsidRPr="00630867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9D628E">
        <w:rPr>
          <w:rFonts w:ascii="Palatino Linotype" w:eastAsia="New Aster" w:hAnsi="Palatino Linotype"/>
          <w:sz w:val="20"/>
        </w:rPr>
        <w:t>……………………….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A217" w14:textId="77777777" w:rsidR="00B87694" w:rsidRDefault="00B87694" w:rsidP="00AC4270">
      <w:r>
        <w:separator/>
      </w:r>
    </w:p>
  </w:endnote>
  <w:endnote w:type="continuationSeparator" w:id="0">
    <w:p w14:paraId="2CAB950B" w14:textId="77777777" w:rsidR="00B87694" w:rsidRDefault="00B8769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DB8C" w14:textId="2BC34BFD" w:rsidR="00845D97" w:rsidRPr="0014358A" w:rsidRDefault="008D1516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Allegato </w:t>
    </w:r>
    <w:r w:rsidR="003575A9">
      <w:rPr>
        <w:rFonts w:ascii="Palatino Linotype" w:hAnsi="Palatino Linotype"/>
        <w:sz w:val="14"/>
        <w:szCs w:val="14"/>
      </w:rPr>
      <w:t>G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664FD1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BDC2" w14:textId="77777777" w:rsidR="00B87694" w:rsidRDefault="00B87694" w:rsidP="00AC4270">
      <w:r>
        <w:separator/>
      </w:r>
    </w:p>
  </w:footnote>
  <w:footnote w:type="continuationSeparator" w:id="0">
    <w:p w14:paraId="6489F4FD" w14:textId="77777777" w:rsidR="00B87694" w:rsidRDefault="00B8769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D5ADC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2DAD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30A8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4FD1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633B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628E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87694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E564A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E0403"/>
    <w:rsid w:val="00EF5A26"/>
    <w:rsid w:val="00EF6750"/>
    <w:rsid w:val="00EF7023"/>
    <w:rsid w:val="00F03C57"/>
    <w:rsid w:val="00F05CD7"/>
    <w:rsid w:val="00F05E7C"/>
    <w:rsid w:val="00F120BA"/>
    <w:rsid w:val="00F12893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C913-CC28-426D-95D0-C64CDF33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11</cp:revision>
  <cp:lastPrinted>2016-10-11T06:58:00Z</cp:lastPrinted>
  <dcterms:created xsi:type="dcterms:W3CDTF">2018-07-02T07:44:00Z</dcterms:created>
  <dcterms:modified xsi:type="dcterms:W3CDTF">2019-12-18T10:01:00Z</dcterms:modified>
</cp:coreProperties>
</file>