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688E" w14:textId="77777777" w:rsidR="00534EB8" w:rsidRDefault="00534EB8" w:rsidP="002331E6">
      <w:pPr>
        <w:jc w:val="center"/>
        <w:rPr>
          <w:rFonts w:ascii="Palatino Linotype" w:hAnsi="Palatino Linotype"/>
        </w:rPr>
      </w:pPr>
    </w:p>
    <w:p w14:paraId="050ACEE7" w14:textId="77777777" w:rsidR="00534EB8" w:rsidRDefault="00534EB8" w:rsidP="00534EB8">
      <w:pPr>
        <w:jc w:val="center"/>
        <w:rPr>
          <w:rFonts w:ascii="Palatino Linotype" w:hAnsi="Palatino Linotype"/>
        </w:rPr>
      </w:pPr>
    </w:p>
    <w:p w14:paraId="0A8082F4" w14:textId="77777777" w:rsidR="00CB66F6" w:rsidRPr="00512ED3" w:rsidRDefault="00CB66F6" w:rsidP="00CB66F6">
      <w:pPr>
        <w:rPr>
          <w:rFonts w:ascii="Palatino Linotype" w:hAnsi="Palatino Linotype"/>
        </w:rPr>
      </w:pPr>
    </w:p>
    <w:p w14:paraId="7F2C8F33" w14:textId="2B52FE88" w:rsidR="00CB66F6" w:rsidRPr="00512ED3" w:rsidRDefault="00B21747" w:rsidP="00E4349D">
      <w:pPr>
        <w:jc w:val="right"/>
        <w:rPr>
          <w:rFonts w:ascii="Palatino Linotype" w:hAnsi="Palatino Linotype"/>
        </w:rPr>
      </w:pPr>
      <w:r>
        <w:rPr>
          <w:rFonts w:ascii="Palatino Linotype" w:hAnsi="Palatino Linotype" w:cs="Arial"/>
          <w:b/>
          <w:iCs/>
          <w:sz w:val="28"/>
          <w:szCs w:val="28"/>
          <w:u w:val="single"/>
        </w:rPr>
        <w:t>ALLEGATO N</w:t>
      </w:r>
    </w:p>
    <w:p w14:paraId="6B7E9013" w14:textId="77777777" w:rsidR="00CB66F6" w:rsidRPr="00512ED3" w:rsidRDefault="00CB66F6" w:rsidP="00CB66F6">
      <w:pPr>
        <w:rPr>
          <w:rFonts w:ascii="Palatino Linotype" w:hAnsi="Palatino Linotype"/>
        </w:rPr>
      </w:pPr>
    </w:p>
    <w:p w14:paraId="4562FBAE"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015E15AF" w14:textId="77777777" w:rsidR="00E4349D" w:rsidRDefault="00E4349D" w:rsidP="00E4349D">
      <w:pPr>
        <w:widowControl w:val="0"/>
        <w:suppressAutoHyphens/>
        <w:autoSpaceDE w:val="0"/>
        <w:autoSpaceDN w:val="0"/>
        <w:adjustRightInd w:val="0"/>
        <w:spacing w:line="480" w:lineRule="auto"/>
        <w:jc w:val="center"/>
        <w:textAlignment w:val="baseline"/>
        <w:rPr>
          <w:rFonts w:ascii="Palatino Linotype" w:hAnsi="Palatino Linotype"/>
          <w:b/>
        </w:rPr>
      </w:pPr>
    </w:p>
    <w:p w14:paraId="4DD8EE47" w14:textId="69A4F120" w:rsidR="00A8581D" w:rsidRPr="007A6787" w:rsidRDefault="00B21747" w:rsidP="00A8581D">
      <w:pPr>
        <w:autoSpaceDE w:val="0"/>
        <w:spacing w:line="276" w:lineRule="auto"/>
        <w:jc w:val="center"/>
        <w:rPr>
          <w:rFonts w:ascii="Palatino Linotype" w:eastAsia="Arial Unicode MS" w:hAnsi="Palatino Linotype"/>
          <w:b/>
        </w:rPr>
      </w:pPr>
      <w:r w:rsidRPr="00B21747">
        <w:rPr>
          <w:rFonts w:ascii="Palatino Linotype" w:hAnsi="Palatino Linotype" w:cs="Calibri"/>
          <w:b/>
          <w:sz w:val="22"/>
          <w:szCs w:val="22"/>
        </w:rPr>
        <w:t xml:space="preserve">GARA </w:t>
      </w:r>
      <w:r w:rsidR="00CD0BA1" w:rsidRPr="00B21747">
        <w:rPr>
          <w:rFonts w:ascii="Palatino Linotype" w:hAnsi="Palatino Linotype" w:cs="Calibri"/>
          <w:b/>
          <w:sz w:val="22"/>
          <w:szCs w:val="22"/>
        </w:rPr>
        <w:t xml:space="preserve">TELEMATICA MEDIANTE PROCEDURA APERTA PER L’AFFIDAMENTO DELLA FORNITURA DI </w:t>
      </w:r>
      <w:r w:rsidR="00CD0BA1" w:rsidRPr="00CD0BA1">
        <w:rPr>
          <w:rFonts w:ascii="Palatino Linotype" w:hAnsi="Palatino Linotype" w:cs="Calibri"/>
          <w:b/>
          <w:sz w:val="22"/>
          <w:szCs w:val="22"/>
        </w:rPr>
        <w:t>PANNOLONI, MUTANDE E TRAVERSE</w:t>
      </w:r>
      <w:r w:rsidR="00CD0BA1">
        <w:rPr>
          <w:rFonts w:ascii="Palatino Linotype" w:hAnsi="Palatino Linotype" w:cs="Calibri"/>
          <w:b/>
          <w:sz w:val="22"/>
          <w:szCs w:val="22"/>
        </w:rPr>
        <w:t xml:space="preserve"> </w:t>
      </w:r>
      <w:r w:rsidR="00CD0BA1" w:rsidRPr="00B21747">
        <w:rPr>
          <w:rFonts w:ascii="Palatino Linotype" w:hAnsi="Palatino Linotype" w:cs="Calibri"/>
          <w:b/>
          <w:sz w:val="22"/>
          <w:szCs w:val="22"/>
        </w:rPr>
        <w:t xml:space="preserve">PER </w:t>
      </w:r>
      <w:r w:rsidRPr="00B21747">
        <w:rPr>
          <w:rFonts w:ascii="Palatino Linotype" w:hAnsi="Palatino Linotype" w:cs="Calibri"/>
          <w:b/>
          <w:sz w:val="22"/>
          <w:szCs w:val="22"/>
        </w:rPr>
        <w:t>LE AZIENDE SANITARIE DELLA REGIONE BASILICATA PER LA DURATA DI ANNI 5</w:t>
      </w:r>
    </w:p>
    <w:p w14:paraId="1639FE6D" w14:textId="77777777" w:rsidR="00A8581D" w:rsidRPr="007A6787" w:rsidRDefault="00A8581D" w:rsidP="00A8581D">
      <w:pPr>
        <w:autoSpaceDE w:val="0"/>
        <w:spacing w:line="276" w:lineRule="auto"/>
        <w:jc w:val="center"/>
        <w:rPr>
          <w:rFonts w:ascii="Palatino Linotype" w:eastAsia="Arial Unicode MS" w:hAnsi="Palatino Linotype"/>
          <w:b/>
        </w:rPr>
      </w:pPr>
    </w:p>
    <w:p w14:paraId="49E24CE6" w14:textId="77777777" w:rsidR="00A8581D" w:rsidRPr="007A6787" w:rsidRDefault="00A8581D" w:rsidP="00A8581D">
      <w:pPr>
        <w:autoSpaceDE w:val="0"/>
        <w:spacing w:line="276" w:lineRule="auto"/>
        <w:jc w:val="center"/>
        <w:rPr>
          <w:rFonts w:ascii="Palatino Linotype" w:eastAsia="Arial Unicode MS" w:hAnsi="Palatino Linotype"/>
          <w:b/>
        </w:rPr>
      </w:pPr>
    </w:p>
    <w:p w14:paraId="36C9EBA0" w14:textId="2F844E24" w:rsidR="00D151F3" w:rsidRPr="00D151F3" w:rsidRDefault="00A8581D" w:rsidP="00D151F3">
      <w:pPr>
        <w:tabs>
          <w:tab w:val="right" w:pos="9638"/>
        </w:tabs>
        <w:spacing w:after="80"/>
        <w:jc w:val="center"/>
        <w:rPr>
          <w:rFonts w:ascii="Palatino Linotype" w:hAnsi="Palatino Linotype"/>
          <w:b/>
        </w:rPr>
      </w:pPr>
      <w:r w:rsidRPr="00D151F3">
        <w:rPr>
          <w:rFonts w:ascii="Palatino Linotype" w:eastAsia="Arial Unicode MS" w:hAnsi="Palatino Linotype"/>
          <w:b/>
        </w:rPr>
        <w:t xml:space="preserve">SIMOG: gara n. </w:t>
      </w:r>
      <w:r w:rsidR="00281597" w:rsidRPr="00281597">
        <w:rPr>
          <w:rStyle w:val="FontStyle19"/>
          <w:rFonts w:ascii="Palatino Linotype" w:hAnsi="Palatino Linotype" w:cs="Times New Roman"/>
          <w:sz w:val="20"/>
          <w:szCs w:val="20"/>
        </w:rPr>
        <w:t>7632145</w:t>
      </w:r>
      <w:bookmarkStart w:id="0" w:name="_GoBack"/>
      <w:bookmarkEnd w:id="0"/>
    </w:p>
    <w:p w14:paraId="4D6EADAC" w14:textId="737DA904" w:rsidR="00CB66F6" w:rsidRDefault="00CB66F6" w:rsidP="00D151F3">
      <w:pPr>
        <w:autoSpaceDE w:val="0"/>
        <w:spacing w:line="276" w:lineRule="auto"/>
        <w:jc w:val="center"/>
        <w:rPr>
          <w:rFonts w:ascii="Palatino Linotype" w:hAnsi="Palatino Linotype"/>
        </w:rPr>
      </w:pPr>
    </w:p>
    <w:p w14:paraId="4D18AAF6" w14:textId="77777777" w:rsidR="00A8581D" w:rsidRDefault="00A8581D" w:rsidP="00CB66F6">
      <w:pPr>
        <w:jc w:val="center"/>
        <w:rPr>
          <w:rFonts w:ascii="Palatino Linotype" w:hAnsi="Palatino Linotype"/>
        </w:rPr>
      </w:pPr>
    </w:p>
    <w:p w14:paraId="46638917" w14:textId="77777777" w:rsidR="00A8581D" w:rsidRPr="00A8581D" w:rsidRDefault="00A8581D" w:rsidP="00CB66F6">
      <w:pPr>
        <w:jc w:val="center"/>
        <w:rPr>
          <w:rFonts w:ascii="Palatino Linotype" w:hAnsi="Palatino Linotype"/>
          <w:u w:val="single"/>
        </w:rPr>
      </w:pPr>
    </w:p>
    <w:p w14:paraId="0A8C5577" w14:textId="77777777" w:rsidR="00F42A67" w:rsidRDefault="00F42A67" w:rsidP="00CB66F6">
      <w:pPr>
        <w:jc w:val="center"/>
        <w:rPr>
          <w:rFonts w:ascii="Palatino Linotype" w:hAnsi="Palatino Linotype"/>
          <w:b/>
          <w:sz w:val="28"/>
          <w:szCs w:val="28"/>
          <w:u w:val="single"/>
        </w:rPr>
      </w:pPr>
    </w:p>
    <w:p w14:paraId="4C398C99" w14:textId="77777777" w:rsidR="00F42A67" w:rsidRDefault="00F42A67" w:rsidP="00CB66F6">
      <w:pPr>
        <w:jc w:val="center"/>
        <w:rPr>
          <w:rFonts w:ascii="Palatino Linotype" w:hAnsi="Palatino Linotype"/>
          <w:b/>
          <w:sz w:val="28"/>
          <w:szCs w:val="28"/>
          <w:u w:val="single"/>
        </w:rPr>
      </w:pPr>
    </w:p>
    <w:p w14:paraId="56D39CAD" w14:textId="77777777" w:rsidR="00F42A67" w:rsidRDefault="00F42A67" w:rsidP="00CB66F6">
      <w:pPr>
        <w:jc w:val="center"/>
        <w:rPr>
          <w:rFonts w:ascii="Palatino Linotype" w:hAnsi="Palatino Linotype"/>
          <w:b/>
          <w:sz w:val="28"/>
          <w:szCs w:val="28"/>
          <w:u w:val="single"/>
        </w:rPr>
      </w:pPr>
    </w:p>
    <w:p w14:paraId="0F2E838D" w14:textId="77777777" w:rsidR="00F42A67" w:rsidRDefault="00F42A67" w:rsidP="00CB66F6">
      <w:pPr>
        <w:jc w:val="center"/>
        <w:rPr>
          <w:rFonts w:ascii="Palatino Linotype" w:hAnsi="Palatino Linotype"/>
        </w:rPr>
      </w:pPr>
    </w:p>
    <w:p w14:paraId="53A3D010" w14:textId="4E71E920" w:rsidR="00A8581D" w:rsidRPr="00F42A67" w:rsidRDefault="00A8581D" w:rsidP="00CB66F6">
      <w:pPr>
        <w:jc w:val="center"/>
        <w:rPr>
          <w:rFonts w:ascii="Palatino Linotype" w:hAnsi="Palatino Linotype"/>
          <w:sz w:val="32"/>
          <w:szCs w:val="32"/>
        </w:rPr>
      </w:pPr>
      <w:r w:rsidRPr="00F42A67">
        <w:rPr>
          <w:rFonts w:ascii="Palatino Linotype" w:hAnsi="Palatino Linotype"/>
          <w:sz w:val="32"/>
          <w:szCs w:val="32"/>
        </w:rPr>
        <w:t>SCHEMA DI CONVENZIONE</w:t>
      </w:r>
    </w:p>
    <w:p w14:paraId="2A097CB2" w14:textId="77777777" w:rsidR="00CB66F6" w:rsidRPr="00512ED3" w:rsidRDefault="00CB66F6" w:rsidP="00CB66F6">
      <w:pPr>
        <w:rPr>
          <w:rFonts w:ascii="Palatino Linotype" w:hAnsi="Palatino Linotype"/>
        </w:rPr>
      </w:pPr>
    </w:p>
    <w:p w14:paraId="49019101" w14:textId="77777777" w:rsidR="00CB66F6" w:rsidRPr="00512ED3" w:rsidRDefault="00CB66F6" w:rsidP="00CB66F6">
      <w:pPr>
        <w:rPr>
          <w:rFonts w:ascii="Palatino Linotype" w:hAnsi="Palatino Linotype"/>
        </w:rPr>
      </w:pPr>
    </w:p>
    <w:p w14:paraId="4818184D" w14:textId="77777777" w:rsidR="00CB66F6" w:rsidRPr="00D91593" w:rsidRDefault="00CB66F6" w:rsidP="00CB66F6">
      <w:pPr>
        <w:jc w:val="center"/>
        <w:rPr>
          <w:rFonts w:ascii="Palatino Linotype" w:hAnsi="Palatino Linotype"/>
          <w:sz w:val="22"/>
          <w:szCs w:val="22"/>
        </w:rPr>
      </w:pPr>
    </w:p>
    <w:p w14:paraId="5F6923C1" w14:textId="77777777" w:rsidR="00CB66F6" w:rsidRPr="00D91593" w:rsidRDefault="00CB66F6" w:rsidP="00CB66F6">
      <w:pPr>
        <w:rPr>
          <w:rFonts w:ascii="Palatino Linotype" w:hAnsi="Palatino Linotype"/>
          <w:sz w:val="22"/>
          <w:szCs w:val="22"/>
        </w:rPr>
      </w:pPr>
    </w:p>
    <w:p w14:paraId="5F8D89FD" w14:textId="77777777" w:rsidR="00CB66F6" w:rsidRPr="00D91593" w:rsidRDefault="00CB66F6" w:rsidP="00CB66F6">
      <w:pPr>
        <w:rPr>
          <w:rFonts w:ascii="Palatino Linotype" w:hAnsi="Palatino Linotype"/>
          <w:sz w:val="22"/>
          <w:szCs w:val="22"/>
        </w:rPr>
      </w:pPr>
    </w:p>
    <w:p w14:paraId="53F397CF" w14:textId="77777777" w:rsidR="00CB66F6" w:rsidRPr="00D91593" w:rsidRDefault="00CB66F6" w:rsidP="00CB66F6">
      <w:pPr>
        <w:rPr>
          <w:rFonts w:ascii="Palatino Linotype" w:hAnsi="Palatino Linotype"/>
          <w:sz w:val="22"/>
          <w:szCs w:val="22"/>
        </w:rPr>
      </w:pPr>
    </w:p>
    <w:p w14:paraId="4313C56D" w14:textId="77777777" w:rsidR="00CB66F6" w:rsidRPr="00D91593" w:rsidRDefault="00CB66F6" w:rsidP="00CB66F6">
      <w:pPr>
        <w:jc w:val="center"/>
        <w:rPr>
          <w:rFonts w:ascii="Palatino Linotype" w:hAnsi="Palatino Linotype"/>
          <w:sz w:val="22"/>
          <w:szCs w:val="22"/>
        </w:rPr>
      </w:pPr>
    </w:p>
    <w:p w14:paraId="6889CFA5" w14:textId="77777777" w:rsidR="00CB66F6" w:rsidRDefault="00CB66F6" w:rsidP="00CB66F6">
      <w:pPr>
        <w:rPr>
          <w:rFonts w:ascii="Palatino Linotype" w:hAnsi="Palatino Linotype"/>
          <w:sz w:val="22"/>
          <w:szCs w:val="22"/>
        </w:rPr>
      </w:pPr>
    </w:p>
    <w:p w14:paraId="736D76C4" w14:textId="77777777" w:rsidR="006378D8" w:rsidRDefault="006378D8" w:rsidP="00CB66F6">
      <w:pPr>
        <w:rPr>
          <w:rFonts w:ascii="Palatino Linotype" w:hAnsi="Palatino Linotype"/>
          <w:sz w:val="22"/>
          <w:szCs w:val="22"/>
        </w:rPr>
      </w:pPr>
    </w:p>
    <w:p w14:paraId="497225BA" w14:textId="77777777" w:rsidR="006378D8" w:rsidRDefault="006378D8" w:rsidP="00CB66F6">
      <w:pPr>
        <w:rPr>
          <w:rFonts w:ascii="Palatino Linotype" w:hAnsi="Palatino Linotype"/>
          <w:sz w:val="22"/>
          <w:szCs w:val="22"/>
        </w:rPr>
      </w:pPr>
    </w:p>
    <w:p w14:paraId="3B1E3965" w14:textId="77777777" w:rsidR="006378D8" w:rsidRPr="00D91593" w:rsidRDefault="006378D8" w:rsidP="00CB66F6">
      <w:pPr>
        <w:rPr>
          <w:rFonts w:ascii="Palatino Linotype" w:hAnsi="Palatino Linotype"/>
          <w:sz w:val="22"/>
          <w:szCs w:val="22"/>
        </w:rPr>
      </w:pPr>
    </w:p>
    <w:p w14:paraId="09EFE01C" w14:textId="77777777" w:rsidR="00CB66F6" w:rsidRDefault="00CB66F6" w:rsidP="00CB66F6">
      <w:pPr>
        <w:rPr>
          <w:rFonts w:ascii="Palatino Linotype" w:hAnsi="Palatino Linotype"/>
          <w:sz w:val="22"/>
          <w:szCs w:val="22"/>
        </w:rPr>
      </w:pPr>
    </w:p>
    <w:p w14:paraId="29FB7D94" w14:textId="77777777" w:rsidR="00B21747" w:rsidRDefault="00B21747" w:rsidP="00CB66F6">
      <w:pPr>
        <w:rPr>
          <w:rFonts w:ascii="Palatino Linotype" w:hAnsi="Palatino Linotype"/>
          <w:sz w:val="22"/>
          <w:szCs w:val="22"/>
        </w:rPr>
      </w:pPr>
    </w:p>
    <w:p w14:paraId="300D5166" w14:textId="77777777" w:rsidR="00B21747" w:rsidRPr="00D91593" w:rsidRDefault="00B21747" w:rsidP="00CB66F6">
      <w:pPr>
        <w:rPr>
          <w:rFonts w:ascii="Palatino Linotype" w:hAnsi="Palatino Linotype"/>
          <w:sz w:val="22"/>
          <w:szCs w:val="22"/>
        </w:rPr>
      </w:pPr>
    </w:p>
    <w:p w14:paraId="52754C9D" w14:textId="77777777" w:rsidR="00CB66F6" w:rsidRPr="00D91593" w:rsidRDefault="00CB66F6" w:rsidP="00CB66F6">
      <w:pPr>
        <w:rPr>
          <w:rFonts w:ascii="Palatino Linotype" w:hAnsi="Palatino Linotype"/>
          <w:sz w:val="22"/>
          <w:szCs w:val="22"/>
        </w:rPr>
      </w:pPr>
    </w:p>
    <w:p w14:paraId="6CC2420A" w14:textId="6E3199A8" w:rsidR="00CB66F6" w:rsidRPr="00105C0B" w:rsidRDefault="00CB66F6" w:rsidP="00105C0B">
      <w:pPr>
        <w:rPr>
          <w:rFonts w:ascii="Palatino Linotype" w:hAnsi="Palatino Linotype"/>
          <w:sz w:val="22"/>
          <w:szCs w:val="22"/>
        </w:rPr>
      </w:pPr>
      <w:r w:rsidRPr="00370A53">
        <w:rPr>
          <w:rFonts w:ascii="Palatino Linotype" w:hAnsi="Palatino Linotype"/>
        </w:rPr>
        <w:lastRenderedPageBreak/>
        <w:t>Sommario</w:t>
      </w:r>
    </w:p>
    <w:p w14:paraId="1009DC90" w14:textId="77777777" w:rsidR="00B13645" w:rsidRDefault="00CB66F6">
      <w:pPr>
        <w:pStyle w:val="Sommario2"/>
        <w:tabs>
          <w:tab w:val="left" w:pos="1200"/>
          <w:tab w:val="right" w:pos="9628"/>
        </w:tabs>
        <w:rPr>
          <w:rFonts w:eastAsiaTheme="minorEastAsia" w:cstheme="minorBidi"/>
          <w:b w:val="0"/>
          <w:bCs w:val="0"/>
          <w:noProof/>
        </w:rPr>
      </w:pPr>
      <w:r w:rsidRPr="00370A53">
        <w:rPr>
          <w:rFonts w:ascii="Palatino Linotype" w:hAnsi="Palatino Linotype"/>
        </w:rPr>
        <w:fldChar w:fldCharType="begin"/>
      </w:r>
      <w:r w:rsidRPr="00370A53">
        <w:rPr>
          <w:rFonts w:ascii="Palatino Linotype" w:hAnsi="Palatino Linotype"/>
        </w:rPr>
        <w:instrText xml:space="preserve"> TOC \o "1-3" \h \z \u </w:instrText>
      </w:r>
      <w:r w:rsidRPr="00370A53">
        <w:rPr>
          <w:rFonts w:ascii="Palatino Linotype" w:hAnsi="Palatino Linotype"/>
        </w:rPr>
        <w:fldChar w:fldCharType="separate"/>
      </w:r>
      <w:hyperlink w:anchor="_Toc499191464" w:history="1">
        <w:r w:rsidR="00B13645" w:rsidRPr="00D0630B">
          <w:rPr>
            <w:rStyle w:val="Collegamentoipertestuale"/>
            <w:noProof/>
          </w:rPr>
          <w:t>Art. 1</w:t>
        </w:r>
        <w:r w:rsidR="00B13645">
          <w:rPr>
            <w:rFonts w:eastAsiaTheme="minorEastAsia" w:cstheme="minorBidi"/>
            <w:b w:val="0"/>
            <w:bCs w:val="0"/>
            <w:noProof/>
          </w:rPr>
          <w:tab/>
        </w:r>
        <w:r w:rsidR="00B13645" w:rsidRPr="00D0630B">
          <w:rPr>
            <w:rStyle w:val="Collegamentoipertestuale"/>
            <w:noProof/>
          </w:rPr>
          <w:t>Definizioni</w:t>
        </w:r>
        <w:r w:rsidR="00B13645">
          <w:rPr>
            <w:noProof/>
            <w:webHidden/>
          </w:rPr>
          <w:tab/>
        </w:r>
        <w:r w:rsidR="00B13645">
          <w:rPr>
            <w:noProof/>
            <w:webHidden/>
          </w:rPr>
          <w:fldChar w:fldCharType="begin"/>
        </w:r>
        <w:r w:rsidR="00B13645">
          <w:rPr>
            <w:noProof/>
            <w:webHidden/>
          </w:rPr>
          <w:instrText xml:space="preserve"> PAGEREF _Toc499191464 \h </w:instrText>
        </w:r>
        <w:r w:rsidR="00B13645">
          <w:rPr>
            <w:noProof/>
            <w:webHidden/>
          </w:rPr>
        </w:r>
        <w:r w:rsidR="00B13645">
          <w:rPr>
            <w:noProof/>
            <w:webHidden/>
          </w:rPr>
          <w:fldChar w:fldCharType="separate"/>
        </w:r>
        <w:r w:rsidR="00544764">
          <w:rPr>
            <w:noProof/>
            <w:webHidden/>
          </w:rPr>
          <w:t>3</w:t>
        </w:r>
        <w:r w:rsidR="00B13645">
          <w:rPr>
            <w:noProof/>
            <w:webHidden/>
          </w:rPr>
          <w:fldChar w:fldCharType="end"/>
        </w:r>
      </w:hyperlink>
    </w:p>
    <w:p w14:paraId="655F2F97" w14:textId="77777777" w:rsidR="00B13645" w:rsidRDefault="00B6093A">
      <w:pPr>
        <w:pStyle w:val="Sommario2"/>
        <w:tabs>
          <w:tab w:val="left" w:pos="1200"/>
          <w:tab w:val="right" w:pos="9628"/>
        </w:tabs>
        <w:rPr>
          <w:rFonts w:eastAsiaTheme="minorEastAsia" w:cstheme="minorBidi"/>
          <w:b w:val="0"/>
          <w:bCs w:val="0"/>
          <w:noProof/>
        </w:rPr>
      </w:pPr>
      <w:hyperlink w:anchor="_Toc499191465" w:history="1">
        <w:r w:rsidR="00B13645" w:rsidRPr="00D0630B">
          <w:rPr>
            <w:rStyle w:val="Collegamentoipertestuale"/>
            <w:noProof/>
          </w:rPr>
          <w:t>Art. 2</w:t>
        </w:r>
        <w:r w:rsidR="00B13645">
          <w:rPr>
            <w:rFonts w:eastAsiaTheme="minorEastAsia" w:cstheme="minorBidi"/>
            <w:b w:val="0"/>
            <w:bCs w:val="0"/>
            <w:noProof/>
          </w:rPr>
          <w:tab/>
        </w:r>
        <w:r w:rsidR="00B13645" w:rsidRPr="00D0630B">
          <w:rPr>
            <w:rStyle w:val="Collegamentoipertestuale"/>
            <w:noProof/>
          </w:rPr>
          <w:t>Valore delle premesse e degli atti di gara</w:t>
        </w:r>
        <w:r w:rsidR="00B13645">
          <w:rPr>
            <w:noProof/>
            <w:webHidden/>
          </w:rPr>
          <w:tab/>
        </w:r>
        <w:r w:rsidR="00B13645">
          <w:rPr>
            <w:noProof/>
            <w:webHidden/>
          </w:rPr>
          <w:fldChar w:fldCharType="begin"/>
        </w:r>
        <w:r w:rsidR="00B13645">
          <w:rPr>
            <w:noProof/>
            <w:webHidden/>
          </w:rPr>
          <w:instrText xml:space="preserve"> PAGEREF _Toc499191465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0FB1A54D" w14:textId="77777777" w:rsidR="00B13645" w:rsidRDefault="00B6093A">
      <w:pPr>
        <w:pStyle w:val="Sommario2"/>
        <w:tabs>
          <w:tab w:val="left" w:pos="1200"/>
          <w:tab w:val="right" w:pos="9628"/>
        </w:tabs>
        <w:rPr>
          <w:rFonts w:eastAsiaTheme="minorEastAsia" w:cstheme="minorBidi"/>
          <w:b w:val="0"/>
          <w:bCs w:val="0"/>
          <w:noProof/>
        </w:rPr>
      </w:pPr>
      <w:hyperlink w:anchor="_Toc499191466" w:history="1">
        <w:r w:rsidR="00B13645" w:rsidRPr="00D0630B">
          <w:rPr>
            <w:rStyle w:val="Collegamentoipertestuale"/>
            <w:noProof/>
          </w:rPr>
          <w:t>Art. 3</w:t>
        </w:r>
        <w:r w:rsidR="00B13645">
          <w:rPr>
            <w:rFonts w:eastAsiaTheme="minorEastAsia" w:cstheme="minorBidi"/>
            <w:b w:val="0"/>
            <w:bCs w:val="0"/>
            <w:noProof/>
          </w:rPr>
          <w:tab/>
        </w:r>
        <w:r w:rsidR="00B13645" w:rsidRPr="00D0630B">
          <w:rPr>
            <w:rStyle w:val="Collegamentoipertestuale"/>
            <w:noProof/>
          </w:rPr>
          <w:t>Disciplina applicabile</w:t>
        </w:r>
        <w:r w:rsidR="00B13645">
          <w:rPr>
            <w:noProof/>
            <w:webHidden/>
          </w:rPr>
          <w:tab/>
        </w:r>
        <w:r w:rsidR="00B13645">
          <w:rPr>
            <w:noProof/>
            <w:webHidden/>
          </w:rPr>
          <w:fldChar w:fldCharType="begin"/>
        </w:r>
        <w:r w:rsidR="00B13645">
          <w:rPr>
            <w:noProof/>
            <w:webHidden/>
          </w:rPr>
          <w:instrText xml:space="preserve"> PAGEREF _Toc499191466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2D1F2E9A" w14:textId="77777777" w:rsidR="00B13645" w:rsidRDefault="00B6093A">
      <w:pPr>
        <w:pStyle w:val="Sommario2"/>
        <w:tabs>
          <w:tab w:val="left" w:pos="1200"/>
          <w:tab w:val="right" w:pos="9628"/>
        </w:tabs>
        <w:rPr>
          <w:rFonts w:eastAsiaTheme="minorEastAsia" w:cstheme="minorBidi"/>
          <w:b w:val="0"/>
          <w:bCs w:val="0"/>
          <w:noProof/>
        </w:rPr>
      </w:pPr>
      <w:hyperlink w:anchor="_Toc499191467" w:history="1">
        <w:r w:rsidR="00B13645" w:rsidRPr="00D0630B">
          <w:rPr>
            <w:rStyle w:val="Collegamentoipertestuale"/>
            <w:noProof/>
          </w:rPr>
          <w:t>Art. 4</w:t>
        </w:r>
        <w:r w:rsidR="00B13645">
          <w:rPr>
            <w:rFonts w:eastAsiaTheme="minorEastAsia" w:cstheme="minorBidi"/>
            <w:b w:val="0"/>
            <w:bCs w:val="0"/>
            <w:noProof/>
          </w:rPr>
          <w:tab/>
        </w:r>
        <w:r w:rsidR="00B13645" w:rsidRPr="00D0630B">
          <w:rPr>
            <w:rStyle w:val="Collegamentoipertestuale"/>
            <w:noProof/>
          </w:rPr>
          <w:t>Oggetto e durata della Convenzione</w:t>
        </w:r>
        <w:r w:rsidR="00B13645">
          <w:rPr>
            <w:noProof/>
            <w:webHidden/>
          </w:rPr>
          <w:tab/>
        </w:r>
        <w:r w:rsidR="00B13645">
          <w:rPr>
            <w:noProof/>
            <w:webHidden/>
          </w:rPr>
          <w:fldChar w:fldCharType="begin"/>
        </w:r>
        <w:r w:rsidR="00B13645">
          <w:rPr>
            <w:noProof/>
            <w:webHidden/>
          </w:rPr>
          <w:instrText xml:space="preserve"> PAGEREF _Toc499191467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204B8331" w14:textId="77777777" w:rsidR="00B13645" w:rsidRDefault="00B6093A">
      <w:pPr>
        <w:pStyle w:val="Sommario2"/>
        <w:tabs>
          <w:tab w:val="left" w:pos="1200"/>
          <w:tab w:val="right" w:pos="9628"/>
        </w:tabs>
        <w:rPr>
          <w:rFonts w:eastAsiaTheme="minorEastAsia" w:cstheme="minorBidi"/>
          <w:b w:val="0"/>
          <w:bCs w:val="0"/>
          <w:noProof/>
        </w:rPr>
      </w:pPr>
      <w:hyperlink w:anchor="_Toc499191468" w:history="1">
        <w:r w:rsidR="00B13645" w:rsidRPr="00D0630B">
          <w:rPr>
            <w:rStyle w:val="Collegamentoipertestuale"/>
            <w:noProof/>
          </w:rPr>
          <w:t>Art. 5</w:t>
        </w:r>
        <w:r w:rsidR="00B13645">
          <w:rPr>
            <w:rFonts w:eastAsiaTheme="minorEastAsia" w:cstheme="minorBidi"/>
            <w:b w:val="0"/>
            <w:bCs w:val="0"/>
            <w:noProof/>
          </w:rPr>
          <w:tab/>
        </w:r>
        <w:r w:rsidR="00B13645" w:rsidRPr="00D0630B">
          <w:rPr>
            <w:rStyle w:val="Collegamentoipertestuale"/>
            <w:noProof/>
          </w:rPr>
          <w:t>Procedura di adesione alla Convenzione</w:t>
        </w:r>
        <w:r w:rsidR="00B13645">
          <w:rPr>
            <w:noProof/>
            <w:webHidden/>
          </w:rPr>
          <w:tab/>
        </w:r>
        <w:r w:rsidR="00B13645">
          <w:rPr>
            <w:noProof/>
            <w:webHidden/>
          </w:rPr>
          <w:fldChar w:fldCharType="begin"/>
        </w:r>
        <w:r w:rsidR="00B13645">
          <w:rPr>
            <w:noProof/>
            <w:webHidden/>
          </w:rPr>
          <w:instrText xml:space="preserve"> PAGEREF _Toc499191468 \h </w:instrText>
        </w:r>
        <w:r w:rsidR="00B13645">
          <w:rPr>
            <w:noProof/>
            <w:webHidden/>
          </w:rPr>
        </w:r>
        <w:r w:rsidR="00B13645">
          <w:rPr>
            <w:noProof/>
            <w:webHidden/>
          </w:rPr>
          <w:fldChar w:fldCharType="separate"/>
        </w:r>
        <w:r w:rsidR="00544764">
          <w:rPr>
            <w:noProof/>
            <w:webHidden/>
          </w:rPr>
          <w:t>4</w:t>
        </w:r>
        <w:r w:rsidR="00B13645">
          <w:rPr>
            <w:noProof/>
            <w:webHidden/>
          </w:rPr>
          <w:fldChar w:fldCharType="end"/>
        </w:r>
      </w:hyperlink>
    </w:p>
    <w:p w14:paraId="0BF4BFF4" w14:textId="77777777" w:rsidR="00B13645" w:rsidRDefault="00B6093A">
      <w:pPr>
        <w:pStyle w:val="Sommario2"/>
        <w:tabs>
          <w:tab w:val="left" w:pos="1200"/>
          <w:tab w:val="right" w:pos="9628"/>
        </w:tabs>
        <w:rPr>
          <w:rFonts w:eastAsiaTheme="minorEastAsia" w:cstheme="minorBidi"/>
          <w:b w:val="0"/>
          <w:bCs w:val="0"/>
          <w:noProof/>
        </w:rPr>
      </w:pPr>
      <w:hyperlink w:anchor="_Toc499191469" w:history="1">
        <w:r w:rsidR="00B13645" w:rsidRPr="00D0630B">
          <w:rPr>
            <w:rStyle w:val="Collegamentoipertestuale"/>
            <w:noProof/>
          </w:rPr>
          <w:t>Art. 6</w:t>
        </w:r>
        <w:r w:rsidR="00B13645">
          <w:rPr>
            <w:rFonts w:eastAsiaTheme="minorEastAsia" w:cstheme="minorBidi"/>
            <w:b w:val="0"/>
            <w:bCs w:val="0"/>
            <w:noProof/>
          </w:rPr>
          <w:tab/>
        </w:r>
        <w:r w:rsidR="00B13645" w:rsidRPr="00D0630B">
          <w:rPr>
            <w:rStyle w:val="Collegamentoipertestuale"/>
            <w:noProof/>
          </w:rPr>
          <w:t>Obbligazioni dell’Aggiudicatario</w:t>
        </w:r>
        <w:r w:rsidR="00B13645">
          <w:rPr>
            <w:noProof/>
            <w:webHidden/>
          </w:rPr>
          <w:tab/>
        </w:r>
        <w:r w:rsidR="00B13645">
          <w:rPr>
            <w:noProof/>
            <w:webHidden/>
          </w:rPr>
          <w:fldChar w:fldCharType="begin"/>
        </w:r>
        <w:r w:rsidR="00B13645">
          <w:rPr>
            <w:noProof/>
            <w:webHidden/>
          </w:rPr>
          <w:instrText xml:space="preserve"> PAGEREF _Toc499191469 \h </w:instrText>
        </w:r>
        <w:r w:rsidR="00B13645">
          <w:rPr>
            <w:noProof/>
            <w:webHidden/>
          </w:rPr>
        </w:r>
        <w:r w:rsidR="00B13645">
          <w:rPr>
            <w:noProof/>
            <w:webHidden/>
          </w:rPr>
          <w:fldChar w:fldCharType="separate"/>
        </w:r>
        <w:r w:rsidR="00544764">
          <w:rPr>
            <w:noProof/>
            <w:webHidden/>
          </w:rPr>
          <w:t>5</w:t>
        </w:r>
        <w:r w:rsidR="00B13645">
          <w:rPr>
            <w:noProof/>
            <w:webHidden/>
          </w:rPr>
          <w:fldChar w:fldCharType="end"/>
        </w:r>
      </w:hyperlink>
    </w:p>
    <w:p w14:paraId="47749C40" w14:textId="77777777" w:rsidR="00B13645" w:rsidRDefault="00B6093A">
      <w:pPr>
        <w:pStyle w:val="Sommario2"/>
        <w:tabs>
          <w:tab w:val="left" w:pos="1200"/>
          <w:tab w:val="right" w:pos="9628"/>
        </w:tabs>
        <w:rPr>
          <w:rFonts w:eastAsiaTheme="minorEastAsia" w:cstheme="minorBidi"/>
          <w:b w:val="0"/>
          <w:bCs w:val="0"/>
          <w:noProof/>
        </w:rPr>
      </w:pPr>
      <w:hyperlink w:anchor="_Toc499191470" w:history="1">
        <w:r w:rsidR="00B13645" w:rsidRPr="00D0630B">
          <w:rPr>
            <w:rStyle w:val="Collegamentoipertestuale"/>
            <w:noProof/>
          </w:rPr>
          <w:t>Art. 7</w:t>
        </w:r>
        <w:r w:rsidR="00B13645">
          <w:rPr>
            <w:rFonts w:eastAsiaTheme="minorEastAsia" w:cstheme="minorBidi"/>
            <w:b w:val="0"/>
            <w:bCs w:val="0"/>
            <w:noProof/>
          </w:rPr>
          <w:tab/>
        </w:r>
        <w:r w:rsidR="00B13645" w:rsidRPr="00D0630B">
          <w:rPr>
            <w:rStyle w:val="Collegamentoipertestuale"/>
            <w:noProof/>
          </w:rPr>
          <w:t>Controlli sulla corretta esecuzione delle prestazioni contrattuali</w:t>
        </w:r>
        <w:r w:rsidR="00B13645">
          <w:rPr>
            <w:noProof/>
            <w:webHidden/>
          </w:rPr>
          <w:tab/>
        </w:r>
        <w:r w:rsidR="00B13645">
          <w:rPr>
            <w:noProof/>
            <w:webHidden/>
          </w:rPr>
          <w:fldChar w:fldCharType="begin"/>
        </w:r>
        <w:r w:rsidR="00B13645">
          <w:rPr>
            <w:noProof/>
            <w:webHidden/>
          </w:rPr>
          <w:instrText xml:space="preserve"> PAGEREF _Toc499191470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5F9B2E52" w14:textId="77777777" w:rsidR="00B13645" w:rsidRDefault="00B6093A">
      <w:pPr>
        <w:pStyle w:val="Sommario2"/>
        <w:tabs>
          <w:tab w:val="left" w:pos="1200"/>
          <w:tab w:val="right" w:pos="9628"/>
        </w:tabs>
        <w:rPr>
          <w:rFonts w:eastAsiaTheme="minorEastAsia" w:cstheme="minorBidi"/>
          <w:b w:val="0"/>
          <w:bCs w:val="0"/>
          <w:noProof/>
        </w:rPr>
      </w:pPr>
      <w:hyperlink w:anchor="_Toc499191471" w:history="1">
        <w:r w:rsidR="00B13645" w:rsidRPr="00D0630B">
          <w:rPr>
            <w:rStyle w:val="Collegamentoipertestuale"/>
            <w:noProof/>
          </w:rPr>
          <w:t>Art. 8</w:t>
        </w:r>
        <w:r w:rsidR="00B13645">
          <w:rPr>
            <w:rFonts w:eastAsiaTheme="minorEastAsia" w:cstheme="minorBidi"/>
            <w:b w:val="0"/>
            <w:bCs w:val="0"/>
            <w:noProof/>
          </w:rPr>
          <w:tab/>
        </w:r>
        <w:r w:rsidR="00B13645" w:rsidRPr="00D0630B">
          <w:rPr>
            <w:rStyle w:val="Collegamentoipertestuale"/>
            <w:noProof/>
          </w:rPr>
          <w:t>Corrispettivo, fatturazione, modalità e tempi di pagamento</w:t>
        </w:r>
        <w:r w:rsidR="00B13645">
          <w:rPr>
            <w:noProof/>
            <w:webHidden/>
          </w:rPr>
          <w:tab/>
        </w:r>
        <w:r w:rsidR="00B13645">
          <w:rPr>
            <w:noProof/>
            <w:webHidden/>
          </w:rPr>
          <w:fldChar w:fldCharType="begin"/>
        </w:r>
        <w:r w:rsidR="00B13645">
          <w:rPr>
            <w:noProof/>
            <w:webHidden/>
          </w:rPr>
          <w:instrText xml:space="preserve"> PAGEREF _Toc499191471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5F4CEF48" w14:textId="77777777" w:rsidR="00B13645" w:rsidRDefault="00B6093A">
      <w:pPr>
        <w:pStyle w:val="Sommario2"/>
        <w:tabs>
          <w:tab w:val="left" w:pos="1200"/>
          <w:tab w:val="right" w:pos="9628"/>
        </w:tabs>
        <w:rPr>
          <w:rFonts w:eastAsiaTheme="minorEastAsia" w:cstheme="minorBidi"/>
          <w:b w:val="0"/>
          <w:bCs w:val="0"/>
          <w:noProof/>
        </w:rPr>
      </w:pPr>
      <w:hyperlink w:anchor="_Toc499191472" w:history="1">
        <w:r w:rsidR="00B13645" w:rsidRPr="00D0630B">
          <w:rPr>
            <w:rStyle w:val="Collegamentoipertestuale"/>
            <w:noProof/>
          </w:rPr>
          <w:t>Art. 9</w:t>
        </w:r>
        <w:r w:rsidR="00B13645">
          <w:rPr>
            <w:rFonts w:eastAsiaTheme="minorEastAsia" w:cstheme="minorBidi"/>
            <w:b w:val="0"/>
            <w:bCs w:val="0"/>
            <w:noProof/>
          </w:rPr>
          <w:tab/>
        </w:r>
        <w:r w:rsidR="00B13645" w:rsidRPr="00D0630B">
          <w:rPr>
            <w:rStyle w:val="Collegamentoipertestuale"/>
            <w:noProof/>
          </w:rPr>
          <w:t>Tracciabilità dei flussi finanziari</w:t>
        </w:r>
        <w:r w:rsidR="00B13645">
          <w:rPr>
            <w:noProof/>
            <w:webHidden/>
          </w:rPr>
          <w:tab/>
        </w:r>
        <w:r w:rsidR="00B13645">
          <w:rPr>
            <w:noProof/>
            <w:webHidden/>
          </w:rPr>
          <w:fldChar w:fldCharType="begin"/>
        </w:r>
        <w:r w:rsidR="00B13645">
          <w:rPr>
            <w:noProof/>
            <w:webHidden/>
          </w:rPr>
          <w:instrText xml:space="preserve"> PAGEREF _Toc499191472 \h </w:instrText>
        </w:r>
        <w:r w:rsidR="00B13645">
          <w:rPr>
            <w:noProof/>
            <w:webHidden/>
          </w:rPr>
        </w:r>
        <w:r w:rsidR="00B13645">
          <w:rPr>
            <w:noProof/>
            <w:webHidden/>
          </w:rPr>
          <w:fldChar w:fldCharType="separate"/>
        </w:r>
        <w:r w:rsidR="00544764">
          <w:rPr>
            <w:noProof/>
            <w:webHidden/>
          </w:rPr>
          <w:t>6</w:t>
        </w:r>
        <w:r w:rsidR="00B13645">
          <w:rPr>
            <w:noProof/>
            <w:webHidden/>
          </w:rPr>
          <w:fldChar w:fldCharType="end"/>
        </w:r>
      </w:hyperlink>
    </w:p>
    <w:p w14:paraId="258481C9" w14:textId="77777777" w:rsidR="00B13645" w:rsidRDefault="00B6093A">
      <w:pPr>
        <w:pStyle w:val="Sommario2"/>
        <w:tabs>
          <w:tab w:val="left" w:pos="1200"/>
          <w:tab w:val="right" w:pos="9628"/>
        </w:tabs>
        <w:rPr>
          <w:rFonts w:eastAsiaTheme="minorEastAsia" w:cstheme="minorBidi"/>
          <w:b w:val="0"/>
          <w:bCs w:val="0"/>
          <w:noProof/>
        </w:rPr>
      </w:pPr>
      <w:hyperlink w:anchor="_Toc499191473" w:history="1">
        <w:r w:rsidR="00B13645" w:rsidRPr="00D0630B">
          <w:rPr>
            <w:rStyle w:val="Collegamentoipertestuale"/>
            <w:noProof/>
          </w:rPr>
          <w:t>Art. 10</w:t>
        </w:r>
        <w:r w:rsidR="00B13645">
          <w:rPr>
            <w:rFonts w:eastAsiaTheme="minorEastAsia" w:cstheme="minorBidi"/>
            <w:b w:val="0"/>
            <w:bCs w:val="0"/>
            <w:noProof/>
          </w:rPr>
          <w:tab/>
        </w:r>
        <w:r w:rsidR="00B13645" w:rsidRPr="00D0630B">
          <w:rPr>
            <w:rStyle w:val="Collegamentoipertestuale"/>
            <w:noProof/>
          </w:rPr>
          <w:t>Penali a carico dell’Aggiudicatario</w:t>
        </w:r>
        <w:r w:rsidR="00B13645">
          <w:rPr>
            <w:noProof/>
            <w:webHidden/>
          </w:rPr>
          <w:tab/>
        </w:r>
        <w:r w:rsidR="00B13645">
          <w:rPr>
            <w:noProof/>
            <w:webHidden/>
          </w:rPr>
          <w:fldChar w:fldCharType="begin"/>
        </w:r>
        <w:r w:rsidR="00B13645">
          <w:rPr>
            <w:noProof/>
            <w:webHidden/>
          </w:rPr>
          <w:instrText xml:space="preserve"> PAGEREF _Toc499191473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6773D3AF" w14:textId="77777777" w:rsidR="00B13645" w:rsidRDefault="00B6093A">
      <w:pPr>
        <w:pStyle w:val="Sommario2"/>
        <w:tabs>
          <w:tab w:val="left" w:pos="1200"/>
          <w:tab w:val="right" w:pos="9628"/>
        </w:tabs>
        <w:rPr>
          <w:rFonts w:eastAsiaTheme="minorEastAsia" w:cstheme="minorBidi"/>
          <w:b w:val="0"/>
          <w:bCs w:val="0"/>
          <w:noProof/>
        </w:rPr>
      </w:pPr>
      <w:hyperlink w:anchor="_Toc499191474" w:history="1">
        <w:r w:rsidR="00B13645" w:rsidRPr="00D0630B">
          <w:rPr>
            <w:rStyle w:val="Collegamentoipertestuale"/>
            <w:noProof/>
          </w:rPr>
          <w:t>Art. 11</w:t>
        </w:r>
        <w:r w:rsidR="00B13645">
          <w:rPr>
            <w:rFonts w:eastAsiaTheme="minorEastAsia" w:cstheme="minorBidi"/>
            <w:b w:val="0"/>
            <w:bCs w:val="0"/>
            <w:noProof/>
          </w:rPr>
          <w:tab/>
        </w:r>
        <w:r w:rsidR="00B13645" w:rsidRPr="00D0630B">
          <w:rPr>
            <w:rStyle w:val="Collegamentoipertestuale"/>
            <w:noProof/>
          </w:rPr>
          <w:t>Garanzia definitiva</w:t>
        </w:r>
        <w:r w:rsidR="00B13645">
          <w:rPr>
            <w:noProof/>
            <w:webHidden/>
          </w:rPr>
          <w:tab/>
        </w:r>
        <w:r w:rsidR="00B13645">
          <w:rPr>
            <w:noProof/>
            <w:webHidden/>
          </w:rPr>
          <w:fldChar w:fldCharType="begin"/>
        </w:r>
        <w:r w:rsidR="00B13645">
          <w:rPr>
            <w:noProof/>
            <w:webHidden/>
          </w:rPr>
          <w:instrText xml:space="preserve"> PAGEREF _Toc499191474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618CCE58" w14:textId="77777777" w:rsidR="00B13645" w:rsidRDefault="00B6093A">
      <w:pPr>
        <w:pStyle w:val="Sommario2"/>
        <w:tabs>
          <w:tab w:val="left" w:pos="1200"/>
          <w:tab w:val="right" w:pos="9628"/>
        </w:tabs>
        <w:rPr>
          <w:rFonts w:eastAsiaTheme="minorEastAsia" w:cstheme="minorBidi"/>
          <w:b w:val="0"/>
          <w:bCs w:val="0"/>
          <w:noProof/>
        </w:rPr>
      </w:pPr>
      <w:hyperlink w:anchor="_Toc499191475" w:history="1">
        <w:r w:rsidR="00B13645" w:rsidRPr="00D0630B">
          <w:rPr>
            <w:rStyle w:val="Collegamentoipertestuale"/>
            <w:noProof/>
          </w:rPr>
          <w:t>Art. 12</w:t>
        </w:r>
        <w:r w:rsidR="00B13645">
          <w:rPr>
            <w:rFonts w:eastAsiaTheme="minorEastAsia" w:cstheme="minorBidi"/>
            <w:b w:val="0"/>
            <w:bCs w:val="0"/>
            <w:noProof/>
          </w:rPr>
          <w:tab/>
        </w:r>
        <w:r w:rsidR="00B13645" w:rsidRPr="00D0630B">
          <w:rPr>
            <w:rStyle w:val="Collegamentoipertestuale"/>
            <w:noProof/>
          </w:rPr>
          <w:t>Risoluzione e Recesso</w:t>
        </w:r>
        <w:r w:rsidR="00B13645">
          <w:rPr>
            <w:noProof/>
            <w:webHidden/>
          </w:rPr>
          <w:tab/>
        </w:r>
        <w:r w:rsidR="00B13645">
          <w:rPr>
            <w:noProof/>
            <w:webHidden/>
          </w:rPr>
          <w:fldChar w:fldCharType="begin"/>
        </w:r>
        <w:r w:rsidR="00B13645">
          <w:rPr>
            <w:noProof/>
            <w:webHidden/>
          </w:rPr>
          <w:instrText xml:space="preserve"> PAGEREF _Toc499191475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71D4E3C7" w14:textId="77777777" w:rsidR="00B13645" w:rsidRDefault="00B6093A">
      <w:pPr>
        <w:pStyle w:val="Sommario2"/>
        <w:tabs>
          <w:tab w:val="left" w:pos="1200"/>
          <w:tab w:val="right" w:pos="9628"/>
        </w:tabs>
        <w:rPr>
          <w:rFonts w:eastAsiaTheme="minorEastAsia" w:cstheme="minorBidi"/>
          <w:b w:val="0"/>
          <w:bCs w:val="0"/>
          <w:noProof/>
        </w:rPr>
      </w:pPr>
      <w:hyperlink w:anchor="_Toc499191476" w:history="1">
        <w:r w:rsidR="00B13645" w:rsidRPr="00D0630B">
          <w:rPr>
            <w:rStyle w:val="Collegamentoipertestuale"/>
            <w:noProof/>
          </w:rPr>
          <w:t>Art. 13</w:t>
        </w:r>
        <w:r w:rsidR="00B13645">
          <w:rPr>
            <w:rFonts w:eastAsiaTheme="minorEastAsia" w:cstheme="minorBidi"/>
            <w:b w:val="0"/>
            <w:bCs w:val="0"/>
            <w:noProof/>
          </w:rPr>
          <w:tab/>
        </w:r>
        <w:r w:rsidR="00B13645" w:rsidRPr="00D0630B">
          <w:rPr>
            <w:rStyle w:val="Collegamentoipertestuale"/>
            <w:noProof/>
          </w:rPr>
          <w:t>Subappalto</w:t>
        </w:r>
        <w:r w:rsidR="00B13645">
          <w:rPr>
            <w:noProof/>
            <w:webHidden/>
          </w:rPr>
          <w:tab/>
        </w:r>
        <w:r w:rsidR="00B13645">
          <w:rPr>
            <w:noProof/>
            <w:webHidden/>
          </w:rPr>
          <w:fldChar w:fldCharType="begin"/>
        </w:r>
        <w:r w:rsidR="00B13645">
          <w:rPr>
            <w:noProof/>
            <w:webHidden/>
          </w:rPr>
          <w:instrText xml:space="preserve"> PAGEREF _Toc499191476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0F333305" w14:textId="77777777" w:rsidR="00B13645" w:rsidRDefault="00B6093A">
      <w:pPr>
        <w:pStyle w:val="Sommario2"/>
        <w:tabs>
          <w:tab w:val="left" w:pos="1200"/>
          <w:tab w:val="right" w:pos="9628"/>
        </w:tabs>
        <w:rPr>
          <w:rFonts w:eastAsiaTheme="minorEastAsia" w:cstheme="minorBidi"/>
          <w:b w:val="0"/>
          <w:bCs w:val="0"/>
          <w:noProof/>
        </w:rPr>
      </w:pPr>
      <w:hyperlink w:anchor="_Toc499191477" w:history="1">
        <w:r w:rsidR="00B13645" w:rsidRPr="00D0630B">
          <w:rPr>
            <w:rStyle w:val="Collegamentoipertestuale"/>
            <w:noProof/>
          </w:rPr>
          <w:t>Art. 14</w:t>
        </w:r>
        <w:r w:rsidR="00B13645">
          <w:rPr>
            <w:rFonts w:eastAsiaTheme="minorEastAsia" w:cstheme="minorBidi"/>
            <w:b w:val="0"/>
            <w:bCs w:val="0"/>
            <w:noProof/>
          </w:rPr>
          <w:tab/>
        </w:r>
        <w:r w:rsidR="00B13645" w:rsidRPr="00D0630B">
          <w:rPr>
            <w:rStyle w:val="Collegamentoipertestuale"/>
            <w:noProof/>
          </w:rPr>
          <w:t>Divieto di cessione del contratto. Ammissibilità della cessione dei crediti</w:t>
        </w:r>
        <w:r w:rsidR="00B13645">
          <w:rPr>
            <w:noProof/>
            <w:webHidden/>
          </w:rPr>
          <w:tab/>
        </w:r>
        <w:r w:rsidR="00B13645">
          <w:rPr>
            <w:noProof/>
            <w:webHidden/>
          </w:rPr>
          <w:fldChar w:fldCharType="begin"/>
        </w:r>
        <w:r w:rsidR="00B13645">
          <w:rPr>
            <w:noProof/>
            <w:webHidden/>
          </w:rPr>
          <w:instrText xml:space="preserve"> PAGEREF _Toc499191477 \h </w:instrText>
        </w:r>
        <w:r w:rsidR="00B13645">
          <w:rPr>
            <w:noProof/>
            <w:webHidden/>
          </w:rPr>
        </w:r>
        <w:r w:rsidR="00B13645">
          <w:rPr>
            <w:noProof/>
            <w:webHidden/>
          </w:rPr>
          <w:fldChar w:fldCharType="separate"/>
        </w:r>
        <w:r w:rsidR="00544764">
          <w:rPr>
            <w:noProof/>
            <w:webHidden/>
          </w:rPr>
          <w:t>7</w:t>
        </w:r>
        <w:r w:rsidR="00B13645">
          <w:rPr>
            <w:noProof/>
            <w:webHidden/>
          </w:rPr>
          <w:fldChar w:fldCharType="end"/>
        </w:r>
      </w:hyperlink>
    </w:p>
    <w:p w14:paraId="3A3905AF" w14:textId="77777777" w:rsidR="00B13645" w:rsidRDefault="00B6093A">
      <w:pPr>
        <w:pStyle w:val="Sommario2"/>
        <w:tabs>
          <w:tab w:val="left" w:pos="1200"/>
          <w:tab w:val="right" w:pos="9628"/>
        </w:tabs>
        <w:rPr>
          <w:rFonts w:eastAsiaTheme="minorEastAsia" w:cstheme="minorBidi"/>
          <w:b w:val="0"/>
          <w:bCs w:val="0"/>
          <w:noProof/>
        </w:rPr>
      </w:pPr>
      <w:hyperlink w:anchor="_Toc499191478" w:history="1">
        <w:r w:rsidR="00B13645" w:rsidRPr="00D0630B">
          <w:rPr>
            <w:rStyle w:val="Collegamentoipertestuale"/>
            <w:noProof/>
          </w:rPr>
          <w:t>Art. 15</w:t>
        </w:r>
        <w:r w:rsidR="00B13645">
          <w:rPr>
            <w:rFonts w:eastAsiaTheme="minorEastAsia" w:cstheme="minorBidi"/>
            <w:b w:val="0"/>
            <w:bCs w:val="0"/>
            <w:noProof/>
          </w:rPr>
          <w:tab/>
        </w:r>
        <w:r w:rsidR="00B13645" w:rsidRPr="00D0630B">
          <w:rPr>
            <w:rStyle w:val="Collegamentoipertestuale"/>
            <w:noProof/>
          </w:rPr>
          <w:t>Scambio di informazioni e recapiti</w:t>
        </w:r>
        <w:r w:rsidR="00B13645">
          <w:rPr>
            <w:noProof/>
            <w:webHidden/>
          </w:rPr>
          <w:tab/>
        </w:r>
        <w:r w:rsidR="00B13645">
          <w:rPr>
            <w:noProof/>
            <w:webHidden/>
          </w:rPr>
          <w:fldChar w:fldCharType="begin"/>
        </w:r>
        <w:r w:rsidR="00B13645">
          <w:rPr>
            <w:noProof/>
            <w:webHidden/>
          </w:rPr>
          <w:instrText xml:space="preserve"> PAGEREF _Toc499191478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389BCD43" w14:textId="77777777" w:rsidR="00B13645" w:rsidRDefault="00B6093A">
      <w:pPr>
        <w:pStyle w:val="Sommario2"/>
        <w:tabs>
          <w:tab w:val="left" w:pos="1200"/>
          <w:tab w:val="right" w:pos="9628"/>
        </w:tabs>
        <w:rPr>
          <w:rFonts w:eastAsiaTheme="minorEastAsia" w:cstheme="minorBidi"/>
          <w:b w:val="0"/>
          <w:bCs w:val="0"/>
          <w:noProof/>
        </w:rPr>
      </w:pPr>
      <w:hyperlink w:anchor="_Toc499191479" w:history="1">
        <w:r w:rsidR="00B13645" w:rsidRPr="00D0630B">
          <w:rPr>
            <w:rStyle w:val="Collegamentoipertestuale"/>
            <w:noProof/>
          </w:rPr>
          <w:t>Art. 16</w:t>
        </w:r>
        <w:r w:rsidR="00B13645">
          <w:rPr>
            <w:rFonts w:eastAsiaTheme="minorEastAsia" w:cstheme="minorBidi"/>
            <w:b w:val="0"/>
            <w:bCs w:val="0"/>
            <w:noProof/>
          </w:rPr>
          <w:tab/>
        </w:r>
        <w:r w:rsidR="00B13645" w:rsidRPr="00D0630B">
          <w:rPr>
            <w:rStyle w:val="Collegamentoipertestuale"/>
            <w:noProof/>
          </w:rPr>
          <w:t>Oneri fiscali e spese contrattuali</w:t>
        </w:r>
        <w:r w:rsidR="00B13645">
          <w:rPr>
            <w:noProof/>
            <w:webHidden/>
          </w:rPr>
          <w:tab/>
        </w:r>
        <w:r w:rsidR="00B13645">
          <w:rPr>
            <w:noProof/>
            <w:webHidden/>
          </w:rPr>
          <w:fldChar w:fldCharType="begin"/>
        </w:r>
        <w:r w:rsidR="00B13645">
          <w:rPr>
            <w:noProof/>
            <w:webHidden/>
          </w:rPr>
          <w:instrText xml:space="preserve"> PAGEREF _Toc499191479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4C1E5024" w14:textId="77777777" w:rsidR="00B13645" w:rsidRDefault="00B6093A">
      <w:pPr>
        <w:pStyle w:val="Sommario2"/>
        <w:tabs>
          <w:tab w:val="left" w:pos="1200"/>
          <w:tab w:val="right" w:pos="9628"/>
        </w:tabs>
        <w:rPr>
          <w:rFonts w:eastAsiaTheme="minorEastAsia" w:cstheme="minorBidi"/>
          <w:b w:val="0"/>
          <w:bCs w:val="0"/>
          <w:noProof/>
        </w:rPr>
      </w:pPr>
      <w:hyperlink w:anchor="_Toc499191480" w:history="1">
        <w:r w:rsidR="00B13645" w:rsidRPr="00D0630B">
          <w:rPr>
            <w:rStyle w:val="Collegamentoipertestuale"/>
            <w:noProof/>
          </w:rPr>
          <w:t>Art. 17</w:t>
        </w:r>
        <w:r w:rsidR="00B13645">
          <w:rPr>
            <w:rFonts w:eastAsiaTheme="minorEastAsia" w:cstheme="minorBidi"/>
            <w:b w:val="0"/>
            <w:bCs w:val="0"/>
            <w:noProof/>
          </w:rPr>
          <w:tab/>
        </w:r>
        <w:r w:rsidR="00B13645" w:rsidRPr="00D0630B">
          <w:rPr>
            <w:rStyle w:val="Collegamentoipertestuale"/>
            <w:noProof/>
          </w:rPr>
          <w:t>Foro competente</w:t>
        </w:r>
        <w:r w:rsidR="00B13645">
          <w:rPr>
            <w:noProof/>
            <w:webHidden/>
          </w:rPr>
          <w:tab/>
        </w:r>
        <w:r w:rsidR="00B13645">
          <w:rPr>
            <w:noProof/>
            <w:webHidden/>
          </w:rPr>
          <w:fldChar w:fldCharType="begin"/>
        </w:r>
        <w:r w:rsidR="00B13645">
          <w:rPr>
            <w:noProof/>
            <w:webHidden/>
          </w:rPr>
          <w:instrText xml:space="preserve"> PAGEREF _Toc499191480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41F555E3" w14:textId="77777777" w:rsidR="00B13645" w:rsidRDefault="00B6093A">
      <w:pPr>
        <w:pStyle w:val="Sommario2"/>
        <w:tabs>
          <w:tab w:val="left" w:pos="1200"/>
          <w:tab w:val="right" w:pos="9628"/>
        </w:tabs>
        <w:rPr>
          <w:rFonts w:eastAsiaTheme="minorEastAsia" w:cstheme="minorBidi"/>
          <w:b w:val="0"/>
          <w:bCs w:val="0"/>
          <w:noProof/>
        </w:rPr>
      </w:pPr>
      <w:hyperlink w:anchor="_Toc499191481" w:history="1">
        <w:r w:rsidR="00B13645" w:rsidRPr="00D0630B">
          <w:rPr>
            <w:rStyle w:val="Collegamentoipertestuale"/>
            <w:noProof/>
          </w:rPr>
          <w:t>Art. 18</w:t>
        </w:r>
        <w:r w:rsidR="00B13645">
          <w:rPr>
            <w:rFonts w:eastAsiaTheme="minorEastAsia" w:cstheme="minorBidi"/>
            <w:b w:val="0"/>
            <w:bCs w:val="0"/>
            <w:noProof/>
          </w:rPr>
          <w:tab/>
        </w:r>
        <w:r w:rsidR="00B13645" w:rsidRPr="00D0630B">
          <w:rPr>
            <w:rStyle w:val="Collegamentoipertestuale"/>
            <w:noProof/>
          </w:rPr>
          <w:t>Trattamento dei dati personali e Riservatezza</w:t>
        </w:r>
        <w:r w:rsidR="00B13645">
          <w:rPr>
            <w:noProof/>
            <w:webHidden/>
          </w:rPr>
          <w:tab/>
        </w:r>
        <w:r w:rsidR="00B13645">
          <w:rPr>
            <w:noProof/>
            <w:webHidden/>
          </w:rPr>
          <w:fldChar w:fldCharType="begin"/>
        </w:r>
        <w:r w:rsidR="00B13645">
          <w:rPr>
            <w:noProof/>
            <w:webHidden/>
          </w:rPr>
          <w:instrText xml:space="preserve"> PAGEREF _Toc499191481 \h </w:instrText>
        </w:r>
        <w:r w:rsidR="00B13645">
          <w:rPr>
            <w:noProof/>
            <w:webHidden/>
          </w:rPr>
        </w:r>
        <w:r w:rsidR="00B13645">
          <w:rPr>
            <w:noProof/>
            <w:webHidden/>
          </w:rPr>
          <w:fldChar w:fldCharType="separate"/>
        </w:r>
        <w:r w:rsidR="00544764">
          <w:rPr>
            <w:noProof/>
            <w:webHidden/>
          </w:rPr>
          <w:t>8</w:t>
        </w:r>
        <w:r w:rsidR="00B13645">
          <w:rPr>
            <w:noProof/>
            <w:webHidden/>
          </w:rPr>
          <w:fldChar w:fldCharType="end"/>
        </w:r>
      </w:hyperlink>
    </w:p>
    <w:p w14:paraId="7BECB303" w14:textId="77777777" w:rsidR="00B13645" w:rsidRDefault="00B6093A">
      <w:pPr>
        <w:pStyle w:val="Sommario2"/>
        <w:tabs>
          <w:tab w:val="left" w:pos="1200"/>
          <w:tab w:val="right" w:pos="9628"/>
        </w:tabs>
        <w:rPr>
          <w:rFonts w:eastAsiaTheme="minorEastAsia" w:cstheme="minorBidi"/>
          <w:b w:val="0"/>
          <w:bCs w:val="0"/>
          <w:noProof/>
        </w:rPr>
      </w:pPr>
      <w:hyperlink w:anchor="_Toc499191482" w:history="1">
        <w:r w:rsidR="00B13645" w:rsidRPr="00D0630B">
          <w:rPr>
            <w:rStyle w:val="Collegamentoipertestuale"/>
            <w:noProof/>
          </w:rPr>
          <w:t>Art. 19</w:t>
        </w:r>
        <w:r w:rsidR="00B13645">
          <w:rPr>
            <w:rFonts w:eastAsiaTheme="minorEastAsia" w:cstheme="minorBidi"/>
            <w:b w:val="0"/>
            <w:bCs w:val="0"/>
            <w:noProof/>
          </w:rPr>
          <w:tab/>
        </w:r>
        <w:r w:rsidR="00B13645" w:rsidRPr="00D0630B">
          <w:rPr>
            <w:rStyle w:val="Collegamentoipertestuale"/>
            <w:noProof/>
          </w:rPr>
          <w:t>Norme di rinvio</w:t>
        </w:r>
        <w:r w:rsidR="00B13645">
          <w:rPr>
            <w:noProof/>
            <w:webHidden/>
          </w:rPr>
          <w:tab/>
        </w:r>
        <w:r w:rsidR="00B13645">
          <w:rPr>
            <w:noProof/>
            <w:webHidden/>
          </w:rPr>
          <w:fldChar w:fldCharType="begin"/>
        </w:r>
        <w:r w:rsidR="00B13645">
          <w:rPr>
            <w:noProof/>
            <w:webHidden/>
          </w:rPr>
          <w:instrText xml:space="preserve"> PAGEREF _Toc499191482 \h </w:instrText>
        </w:r>
        <w:r w:rsidR="00B13645">
          <w:rPr>
            <w:noProof/>
            <w:webHidden/>
          </w:rPr>
        </w:r>
        <w:r w:rsidR="00B13645">
          <w:rPr>
            <w:noProof/>
            <w:webHidden/>
          </w:rPr>
          <w:fldChar w:fldCharType="separate"/>
        </w:r>
        <w:r w:rsidR="00544764">
          <w:rPr>
            <w:noProof/>
            <w:webHidden/>
          </w:rPr>
          <w:t>9</w:t>
        </w:r>
        <w:r w:rsidR="00B13645">
          <w:rPr>
            <w:noProof/>
            <w:webHidden/>
          </w:rPr>
          <w:fldChar w:fldCharType="end"/>
        </w:r>
      </w:hyperlink>
    </w:p>
    <w:p w14:paraId="7428A108" w14:textId="77777777" w:rsidR="00CB66F6" w:rsidRDefault="00CB66F6" w:rsidP="00CB66F6">
      <w:pPr>
        <w:spacing w:after="80"/>
      </w:pPr>
      <w:r w:rsidRPr="00370A53">
        <w:rPr>
          <w:rFonts w:ascii="Palatino Linotype" w:hAnsi="Palatino Linotype"/>
          <w:b/>
          <w:bCs/>
          <w:sz w:val="22"/>
          <w:szCs w:val="22"/>
        </w:rPr>
        <w:fldChar w:fldCharType="end"/>
      </w:r>
    </w:p>
    <w:p w14:paraId="55B69848" w14:textId="77777777" w:rsidR="00CB66F6" w:rsidRPr="00D91593" w:rsidRDefault="00CB66F6" w:rsidP="00CB66F6">
      <w:pPr>
        <w:rPr>
          <w:rFonts w:ascii="Palatino Linotype" w:hAnsi="Palatino Linotype"/>
          <w:sz w:val="22"/>
          <w:szCs w:val="22"/>
        </w:rPr>
      </w:pPr>
    </w:p>
    <w:p w14:paraId="58FCDD0B" w14:textId="77777777" w:rsidR="00CB66F6" w:rsidRPr="00D91593" w:rsidRDefault="00CB66F6" w:rsidP="00CB66F6">
      <w:pPr>
        <w:rPr>
          <w:rFonts w:ascii="Palatino Linotype" w:hAnsi="Palatino Linotype"/>
          <w:sz w:val="22"/>
          <w:szCs w:val="22"/>
        </w:rPr>
      </w:pPr>
    </w:p>
    <w:p w14:paraId="77B8D57F" w14:textId="77777777" w:rsidR="00CB66F6" w:rsidRPr="00D91593" w:rsidRDefault="00CB66F6" w:rsidP="00CB66F6">
      <w:pPr>
        <w:rPr>
          <w:rFonts w:ascii="Palatino Linotype" w:hAnsi="Palatino Linotype"/>
          <w:sz w:val="22"/>
          <w:szCs w:val="22"/>
        </w:rPr>
      </w:pPr>
    </w:p>
    <w:p w14:paraId="08E35590" w14:textId="2F6FC888" w:rsidR="002410D8" w:rsidRDefault="002410D8" w:rsidP="00CB66F6">
      <w:pPr>
        <w:jc w:val="both"/>
        <w:rPr>
          <w:rFonts w:ascii="Palatino Linotype" w:hAnsi="Palatino Linotype"/>
          <w:sz w:val="22"/>
          <w:szCs w:val="22"/>
        </w:rPr>
      </w:pPr>
    </w:p>
    <w:p w14:paraId="0EBF6C0F" w14:textId="77777777" w:rsidR="002410D8" w:rsidRPr="002410D8" w:rsidRDefault="002410D8" w:rsidP="002410D8">
      <w:pPr>
        <w:rPr>
          <w:rFonts w:ascii="Palatino Linotype" w:hAnsi="Palatino Linotype"/>
          <w:sz w:val="22"/>
          <w:szCs w:val="22"/>
        </w:rPr>
      </w:pPr>
    </w:p>
    <w:p w14:paraId="24AB9396" w14:textId="77777777" w:rsidR="002410D8" w:rsidRPr="002410D8" w:rsidRDefault="002410D8" w:rsidP="002410D8">
      <w:pPr>
        <w:rPr>
          <w:rFonts w:ascii="Palatino Linotype" w:hAnsi="Palatino Linotype"/>
          <w:sz w:val="22"/>
          <w:szCs w:val="22"/>
        </w:rPr>
      </w:pPr>
    </w:p>
    <w:p w14:paraId="5811E425" w14:textId="77777777" w:rsidR="002410D8" w:rsidRPr="002410D8" w:rsidRDefault="002410D8" w:rsidP="002410D8">
      <w:pPr>
        <w:rPr>
          <w:rFonts w:ascii="Palatino Linotype" w:hAnsi="Palatino Linotype"/>
          <w:sz w:val="22"/>
          <w:szCs w:val="22"/>
        </w:rPr>
      </w:pPr>
    </w:p>
    <w:p w14:paraId="25D351EC" w14:textId="77777777" w:rsidR="002410D8" w:rsidRPr="002410D8" w:rsidRDefault="002410D8" w:rsidP="002410D8">
      <w:pPr>
        <w:rPr>
          <w:rFonts w:ascii="Palatino Linotype" w:hAnsi="Palatino Linotype"/>
          <w:sz w:val="22"/>
          <w:szCs w:val="22"/>
        </w:rPr>
      </w:pPr>
    </w:p>
    <w:p w14:paraId="44977A78" w14:textId="77777777" w:rsidR="002410D8" w:rsidRPr="002410D8" w:rsidRDefault="002410D8" w:rsidP="002410D8">
      <w:pPr>
        <w:rPr>
          <w:rFonts w:ascii="Palatino Linotype" w:hAnsi="Palatino Linotype"/>
          <w:sz w:val="22"/>
          <w:szCs w:val="22"/>
        </w:rPr>
      </w:pPr>
    </w:p>
    <w:p w14:paraId="3D2C534D" w14:textId="77777777" w:rsidR="002410D8" w:rsidRPr="002410D8" w:rsidRDefault="002410D8" w:rsidP="002410D8">
      <w:pPr>
        <w:rPr>
          <w:rFonts w:ascii="Palatino Linotype" w:hAnsi="Palatino Linotype"/>
          <w:sz w:val="22"/>
          <w:szCs w:val="22"/>
        </w:rPr>
      </w:pPr>
    </w:p>
    <w:p w14:paraId="3EF69FF0" w14:textId="77777777" w:rsidR="002410D8" w:rsidRPr="002410D8" w:rsidRDefault="002410D8" w:rsidP="002410D8">
      <w:pPr>
        <w:rPr>
          <w:rFonts w:ascii="Palatino Linotype" w:hAnsi="Palatino Linotype"/>
          <w:sz w:val="22"/>
          <w:szCs w:val="22"/>
        </w:rPr>
      </w:pPr>
    </w:p>
    <w:p w14:paraId="5DBBEEE3" w14:textId="77777777" w:rsidR="002410D8" w:rsidRPr="002410D8" w:rsidRDefault="002410D8" w:rsidP="002410D8">
      <w:pPr>
        <w:rPr>
          <w:rFonts w:ascii="Palatino Linotype" w:hAnsi="Palatino Linotype"/>
          <w:sz w:val="22"/>
          <w:szCs w:val="22"/>
        </w:rPr>
      </w:pPr>
    </w:p>
    <w:p w14:paraId="5C4DE3DD" w14:textId="77777777" w:rsidR="002410D8" w:rsidRPr="002410D8" w:rsidRDefault="002410D8" w:rsidP="002410D8">
      <w:pPr>
        <w:rPr>
          <w:rFonts w:ascii="Palatino Linotype" w:hAnsi="Palatino Linotype"/>
          <w:sz w:val="22"/>
          <w:szCs w:val="22"/>
        </w:rPr>
      </w:pPr>
    </w:p>
    <w:p w14:paraId="27F086A8" w14:textId="77777777" w:rsidR="002410D8" w:rsidRPr="002410D8" w:rsidRDefault="002410D8" w:rsidP="002410D8">
      <w:pPr>
        <w:rPr>
          <w:rFonts w:ascii="Palatino Linotype" w:hAnsi="Palatino Linotype"/>
          <w:sz w:val="22"/>
          <w:szCs w:val="22"/>
        </w:rPr>
      </w:pPr>
    </w:p>
    <w:p w14:paraId="02344885" w14:textId="77777777" w:rsidR="002410D8" w:rsidRPr="002410D8" w:rsidRDefault="002410D8" w:rsidP="002410D8">
      <w:pPr>
        <w:rPr>
          <w:rFonts w:ascii="Palatino Linotype" w:hAnsi="Palatino Linotype"/>
          <w:sz w:val="22"/>
          <w:szCs w:val="22"/>
        </w:rPr>
      </w:pPr>
    </w:p>
    <w:p w14:paraId="5A8D7D81" w14:textId="77777777" w:rsidR="002410D8" w:rsidRPr="002410D8" w:rsidRDefault="002410D8" w:rsidP="002410D8">
      <w:pPr>
        <w:rPr>
          <w:rFonts w:ascii="Palatino Linotype" w:hAnsi="Palatino Linotype"/>
          <w:sz w:val="22"/>
          <w:szCs w:val="22"/>
        </w:rPr>
      </w:pPr>
    </w:p>
    <w:p w14:paraId="10F52492" w14:textId="77777777" w:rsidR="002410D8" w:rsidRPr="002410D8" w:rsidRDefault="002410D8" w:rsidP="002410D8">
      <w:pPr>
        <w:rPr>
          <w:rFonts w:ascii="Palatino Linotype" w:hAnsi="Palatino Linotype"/>
          <w:sz w:val="22"/>
          <w:szCs w:val="22"/>
        </w:rPr>
      </w:pPr>
    </w:p>
    <w:p w14:paraId="41AA0222" w14:textId="77777777" w:rsidR="002410D8" w:rsidRPr="002410D8" w:rsidRDefault="002410D8" w:rsidP="002410D8">
      <w:pPr>
        <w:rPr>
          <w:rFonts w:ascii="Palatino Linotype" w:hAnsi="Palatino Linotype"/>
          <w:sz w:val="22"/>
          <w:szCs w:val="22"/>
        </w:rPr>
      </w:pPr>
    </w:p>
    <w:p w14:paraId="6E6CE0B2" w14:textId="02DB2805" w:rsidR="002410D8" w:rsidRDefault="002410D8" w:rsidP="002410D8">
      <w:pPr>
        <w:tabs>
          <w:tab w:val="left" w:pos="5857"/>
        </w:tabs>
        <w:jc w:val="both"/>
        <w:rPr>
          <w:rFonts w:ascii="Palatino Linotype" w:hAnsi="Palatino Linotype"/>
          <w:sz w:val="22"/>
          <w:szCs w:val="22"/>
        </w:rPr>
      </w:pPr>
      <w:r>
        <w:rPr>
          <w:rFonts w:ascii="Palatino Linotype" w:hAnsi="Palatino Linotype"/>
          <w:sz w:val="22"/>
          <w:szCs w:val="22"/>
        </w:rPr>
        <w:tab/>
      </w:r>
    </w:p>
    <w:p w14:paraId="2BDAC598" w14:textId="77777777" w:rsidR="00CB66F6" w:rsidRPr="00512ED3" w:rsidRDefault="00CB66F6" w:rsidP="00CB66F6">
      <w:pPr>
        <w:jc w:val="both"/>
        <w:rPr>
          <w:rFonts w:ascii="Palatino Linotype" w:hAnsi="Palatino Linotype"/>
          <w:sz w:val="20"/>
          <w:szCs w:val="20"/>
        </w:rPr>
      </w:pPr>
      <w:r w:rsidRPr="002410D8">
        <w:rPr>
          <w:rFonts w:ascii="Palatino Linotype" w:hAnsi="Palatino Linotype"/>
          <w:sz w:val="22"/>
          <w:szCs w:val="22"/>
        </w:rPr>
        <w:br w:type="page"/>
      </w:r>
      <w:r w:rsidRPr="00512ED3">
        <w:rPr>
          <w:rFonts w:ascii="Palatino Linotype" w:hAnsi="Palatino Linotype"/>
          <w:bCs/>
          <w:sz w:val="20"/>
          <w:szCs w:val="20"/>
        </w:rPr>
        <w:lastRenderedPageBreak/>
        <w:t>Il Dipartimento Stazione Unica Appaltante della Regione Basilicata</w:t>
      </w:r>
      <w:r w:rsidRPr="00512ED3">
        <w:rPr>
          <w:rFonts w:ascii="Palatino Linotype" w:hAnsi="Palatino Linotype"/>
          <w:sz w:val="20"/>
          <w:szCs w:val="20"/>
        </w:rPr>
        <w:t xml:space="preserve">, con sede in Potenza e domiciliata ai fini del presente atto in Potenza, via Vincenzo Verrastro n. 4, in persona del Dirigente dell’Ufficio Centrale di Committenza e Soggetto Aggregatore, </w:t>
      </w:r>
      <w:r w:rsidR="001B7632">
        <w:rPr>
          <w:rFonts w:ascii="Palatino Linotype" w:hAnsi="Palatino Linotype"/>
          <w:sz w:val="20"/>
          <w:szCs w:val="20"/>
        </w:rPr>
        <w:t>___________________</w:t>
      </w:r>
      <w:r w:rsidRPr="00512ED3">
        <w:rPr>
          <w:rFonts w:ascii="Palatino Linotype" w:hAnsi="Palatino Linotype"/>
          <w:sz w:val="20"/>
          <w:szCs w:val="20"/>
        </w:rPr>
        <w:t>, nato a ________________ il ________________;</w:t>
      </w:r>
    </w:p>
    <w:p w14:paraId="1456227F" w14:textId="77777777" w:rsidR="00CB66F6" w:rsidRPr="00512ED3" w:rsidRDefault="00CB66F6" w:rsidP="00CB66F6">
      <w:pPr>
        <w:pStyle w:val="Default"/>
        <w:spacing w:line="240" w:lineRule="auto"/>
        <w:rPr>
          <w:rFonts w:ascii="Palatino Linotype" w:hAnsi="Palatino Linotype"/>
          <w:color w:val="auto"/>
          <w:sz w:val="20"/>
          <w:szCs w:val="20"/>
        </w:rPr>
      </w:pPr>
      <w:proofErr w:type="gramStart"/>
      <w:r w:rsidRPr="00512ED3">
        <w:rPr>
          <w:rFonts w:ascii="Palatino Linotype" w:hAnsi="Palatino Linotype"/>
          <w:color w:val="auto"/>
          <w:sz w:val="20"/>
          <w:szCs w:val="20"/>
        </w:rPr>
        <w:t>e</w:t>
      </w:r>
      <w:proofErr w:type="gramEnd"/>
    </w:p>
    <w:p w14:paraId="477629EB"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_____________________, sede legale in _____________, Via _________________, capitale sociale Euro ___________, iscritta al Registro delle Imprese di _____________ al n.___________, P. IVA______________, domiciliata ai fini del presente atto in________, Via _____________, in persona del_____________ e legale rappresentante __________________, giusta poteri allo stesso conferiti da________________ (nel seguito per brevità anche “Aggiudicatario”); </w:t>
      </w:r>
    </w:p>
    <w:p w14:paraId="1B32F6A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di seguito congiuntamente anche “Parti” </w:t>
      </w:r>
    </w:p>
    <w:p w14:paraId="0D2D8684" w14:textId="77777777" w:rsidR="00CB66F6" w:rsidRPr="00512ED3" w:rsidRDefault="00CB66F6" w:rsidP="00CB66F6">
      <w:pPr>
        <w:pStyle w:val="Default"/>
        <w:spacing w:line="240" w:lineRule="auto"/>
        <w:jc w:val="center"/>
        <w:rPr>
          <w:rFonts w:ascii="Palatino Linotype" w:hAnsi="Palatino Linotype"/>
          <w:b/>
          <w:bCs/>
          <w:iCs/>
          <w:color w:val="auto"/>
          <w:sz w:val="20"/>
          <w:szCs w:val="20"/>
        </w:rPr>
      </w:pPr>
      <w:r w:rsidRPr="00512ED3">
        <w:rPr>
          <w:rFonts w:ascii="Palatino Linotype" w:hAnsi="Palatino Linotype"/>
          <w:b/>
          <w:bCs/>
          <w:iCs/>
          <w:color w:val="auto"/>
          <w:sz w:val="20"/>
          <w:szCs w:val="20"/>
        </w:rPr>
        <w:t>PREMESSO CHE</w:t>
      </w:r>
    </w:p>
    <w:p w14:paraId="268E369E" w14:textId="7C6BFEFD"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il DPCM 30/6/2011 prevede, tra l’atro, all’art. 4 l’adozione di una convenzione attraverso la quale disciplinare i rapporti tra la Stazione Unica Appaltante, anche in funzione di Soggetto Aggregatore (D.L. 66/2014 art. 9) e Centrale di Committenza, e i soggetti aderenti obbligati, tra cui le Aziende d</w:t>
      </w:r>
      <w:r w:rsidR="001B7632">
        <w:rPr>
          <w:rFonts w:ascii="Palatino Linotype" w:hAnsi="Palatino Linotype"/>
          <w:color w:val="auto"/>
          <w:sz w:val="20"/>
          <w:szCs w:val="20"/>
        </w:rPr>
        <w:t>el Servizio Sanitario Regionale;</w:t>
      </w:r>
    </w:p>
    <w:p w14:paraId="38D21BDF"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le aziende del Servizio Sanitario della Regione Basilicata dopo aver preso atto, da ultimo, in data 21/10/2015, della DGR n. 1153 del 11/9/2015 contenente lo schema di convenzione in parola, per il tramite dei rispettivi rappresentanti legali, hanno sottoscritto l’apposita convenzione per la disciplina delle attività inerenti alla Stazione Unica Appaltante – SUA – RB e Centrale di Committenza, ex comma 2 dell’art. 32 della L.R. 18/2013 </w:t>
      </w:r>
      <w:proofErr w:type="spellStart"/>
      <w:r w:rsidRPr="00512ED3">
        <w:rPr>
          <w:rFonts w:ascii="Palatino Linotype" w:hAnsi="Palatino Linotype"/>
          <w:color w:val="auto"/>
          <w:sz w:val="20"/>
          <w:szCs w:val="20"/>
        </w:rPr>
        <w:t>ss.mm.ii</w:t>
      </w:r>
      <w:proofErr w:type="spellEnd"/>
      <w:r w:rsidRPr="00512ED3">
        <w:rPr>
          <w:rFonts w:ascii="Palatino Linotype" w:hAnsi="Palatino Linotype"/>
          <w:color w:val="auto"/>
          <w:sz w:val="20"/>
          <w:szCs w:val="20"/>
        </w:rPr>
        <w:t>., la cui copia sottoscritta veniva inviata in data 5/11/2015 dal Dipartimento SUA-RB;</w:t>
      </w:r>
    </w:p>
    <w:p w14:paraId="2D92E4C4" w14:textId="77777777" w:rsidR="00CD0BA1" w:rsidRDefault="00CB66F6" w:rsidP="00CD0BA1">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 </w:t>
      </w:r>
      <w:proofErr w:type="gramStart"/>
      <w:r w:rsidRPr="00512ED3">
        <w:rPr>
          <w:rFonts w:ascii="Palatino Linotype" w:hAnsi="Palatino Linotype"/>
          <w:color w:val="auto"/>
          <w:sz w:val="20"/>
          <w:szCs w:val="20"/>
        </w:rPr>
        <w:t>è</w:t>
      </w:r>
      <w:proofErr w:type="gramEnd"/>
      <w:r w:rsidRPr="00512ED3">
        <w:rPr>
          <w:rFonts w:ascii="Palatino Linotype" w:hAnsi="Palatino Linotype"/>
          <w:color w:val="auto"/>
          <w:sz w:val="20"/>
          <w:szCs w:val="20"/>
        </w:rPr>
        <w:t xml:space="preserve"> stato insediato apposito Tavolo Tecnico dei referenti </w:t>
      </w:r>
      <w:r w:rsidR="00E42C0E">
        <w:rPr>
          <w:rFonts w:ascii="Palatino Linotype" w:hAnsi="Palatino Linotype"/>
          <w:color w:val="auto"/>
          <w:sz w:val="20"/>
          <w:szCs w:val="20"/>
        </w:rPr>
        <w:t>delle Aziende Sanitarie della Regione Basilicata</w:t>
      </w:r>
    </w:p>
    <w:p w14:paraId="36361F97" w14:textId="775F0180" w:rsidR="00B21747" w:rsidRPr="00CD0BA1" w:rsidRDefault="00CB66F6" w:rsidP="00CD0BA1">
      <w:pPr>
        <w:pStyle w:val="Default"/>
        <w:numPr>
          <w:ilvl w:val="0"/>
          <w:numId w:val="7"/>
        </w:numPr>
        <w:spacing w:line="240" w:lineRule="auto"/>
        <w:ind w:left="284" w:hanging="284"/>
        <w:rPr>
          <w:rFonts w:ascii="Palatino Linotype" w:hAnsi="Palatino Linotype"/>
          <w:color w:val="auto"/>
          <w:sz w:val="20"/>
          <w:szCs w:val="20"/>
        </w:rPr>
      </w:pPr>
      <w:proofErr w:type="gramStart"/>
      <w:r w:rsidRPr="00CD0BA1">
        <w:rPr>
          <w:rFonts w:ascii="Palatino Linotype" w:hAnsi="Palatino Linotype"/>
          <w:color w:val="auto"/>
          <w:sz w:val="20"/>
          <w:szCs w:val="20"/>
        </w:rPr>
        <w:t>la</w:t>
      </w:r>
      <w:proofErr w:type="gramEnd"/>
      <w:r w:rsidRPr="00CD0BA1">
        <w:rPr>
          <w:rFonts w:ascii="Palatino Linotype" w:hAnsi="Palatino Linotype"/>
          <w:color w:val="auto"/>
          <w:sz w:val="20"/>
          <w:szCs w:val="20"/>
        </w:rPr>
        <w:t xml:space="preserve"> procedura di gara di che trattasi riguarda l’affidamento</w:t>
      </w:r>
      <w:r w:rsidR="00517CFA" w:rsidRPr="00CD0BA1">
        <w:rPr>
          <w:rFonts w:ascii="Palatino Linotype" w:hAnsi="Palatino Linotype"/>
          <w:color w:val="auto"/>
          <w:sz w:val="20"/>
          <w:szCs w:val="20"/>
        </w:rPr>
        <w:t xml:space="preserve"> </w:t>
      </w:r>
      <w:r w:rsidR="00B21747" w:rsidRPr="00CD0BA1">
        <w:rPr>
          <w:rFonts w:ascii="Palatino Linotype" w:hAnsi="Palatino Linotype"/>
          <w:color w:val="auto"/>
          <w:sz w:val="20"/>
          <w:szCs w:val="20"/>
        </w:rPr>
        <w:t xml:space="preserve">della fornitura di </w:t>
      </w:r>
      <w:r w:rsidR="00CD0BA1" w:rsidRPr="00CD0BA1">
        <w:rPr>
          <w:rFonts w:ascii="Palatino Linotype" w:hAnsi="Palatino Linotype"/>
          <w:color w:val="auto"/>
          <w:sz w:val="20"/>
          <w:szCs w:val="20"/>
        </w:rPr>
        <w:t xml:space="preserve">pannoloni, mutande e traverse </w:t>
      </w:r>
      <w:r w:rsidR="00B21747" w:rsidRPr="00CD0BA1">
        <w:rPr>
          <w:rFonts w:ascii="Palatino Linotype" w:hAnsi="Palatino Linotype"/>
          <w:color w:val="auto"/>
          <w:sz w:val="20"/>
          <w:szCs w:val="20"/>
        </w:rPr>
        <w:t>per le Aziende Sanitarie della Regione Basilicata per la durata di anni 5</w:t>
      </w:r>
    </w:p>
    <w:p w14:paraId="52771760" w14:textId="6B69B1A2" w:rsidR="00CB66F6" w:rsidRPr="00B21747" w:rsidRDefault="00CB66F6" w:rsidP="00B21747">
      <w:pPr>
        <w:pStyle w:val="Default"/>
        <w:numPr>
          <w:ilvl w:val="0"/>
          <w:numId w:val="7"/>
        </w:numPr>
        <w:spacing w:line="240" w:lineRule="auto"/>
        <w:ind w:left="284" w:hanging="284"/>
        <w:rPr>
          <w:rFonts w:ascii="Palatino Linotype" w:hAnsi="Palatino Linotype"/>
          <w:color w:val="auto"/>
          <w:sz w:val="20"/>
          <w:szCs w:val="20"/>
        </w:rPr>
      </w:pPr>
      <w:proofErr w:type="gramStart"/>
      <w:r w:rsidRPr="00B21747">
        <w:rPr>
          <w:rFonts w:ascii="Palatino Linotype" w:hAnsi="Palatino Linotype"/>
          <w:color w:val="auto"/>
          <w:sz w:val="20"/>
          <w:szCs w:val="20"/>
        </w:rPr>
        <w:t>con</w:t>
      </w:r>
      <w:proofErr w:type="gramEnd"/>
      <w:r w:rsidRPr="00B21747">
        <w:rPr>
          <w:rFonts w:ascii="Palatino Linotype" w:hAnsi="Palatino Linotype"/>
          <w:color w:val="auto"/>
          <w:sz w:val="20"/>
          <w:szCs w:val="20"/>
        </w:rPr>
        <w:t xml:space="preserve"> determinazione dirigenziale n</w:t>
      </w:r>
      <w:r w:rsidR="0061554B" w:rsidRPr="00B21747">
        <w:rPr>
          <w:rFonts w:ascii="Palatino Linotype" w:hAnsi="Palatino Linotype"/>
          <w:color w:val="auto"/>
          <w:sz w:val="20"/>
          <w:szCs w:val="20"/>
        </w:rPr>
        <w:t xml:space="preserve">. </w:t>
      </w:r>
      <w:r w:rsidR="00813AB6" w:rsidRPr="00B21747">
        <w:rPr>
          <w:rFonts w:ascii="Palatino Linotype" w:hAnsi="Palatino Linotype"/>
          <w:color w:val="auto"/>
          <w:sz w:val="20"/>
          <w:szCs w:val="20"/>
        </w:rPr>
        <w:t>____________</w:t>
      </w:r>
      <w:r w:rsidR="0061554B" w:rsidRPr="00B21747">
        <w:rPr>
          <w:rFonts w:ascii="Palatino Linotype" w:hAnsi="Palatino Linotype"/>
          <w:color w:val="auto"/>
          <w:sz w:val="20"/>
          <w:szCs w:val="20"/>
        </w:rPr>
        <w:t xml:space="preserve"> del </w:t>
      </w:r>
      <w:r w:rsidR="00813AB6" w:rsidRPr="00B21747">
        <w:rPr>
          <w:rFonts w:ascii="Palatino Linotype" w:hAnsi="Palatino Linotype"/>
          <w:color w:val="auto"/>
          <w:sz w:val="20"/>
          <w:szCs w:val="20"/>
        </w:rPr>
        <w:t>_________</w:t>
      </w:r>
      <w:r w:rsidR="0061554B" w:rsidRPr="00B21747">
        <w:rPr>
          <w:rFonts w:ascii="Palatino Linotype" w:hAnsi="Palatino Linotype"/>
          <w:color w:val="auto"/>
          <w:sz w:val="20"/>
          <w:szCs w:val="20"/>
        </w:rPr>
        <w:t xml:space="preserve"> </w:t>
      </w:r>
      <w:r w:rsidRPr="00B21747">
        <w:rPr>
          <w:rFonts w:ascii="Palatino Linotype" w:hAnsi="Palatino Linotype"/>
          <w:color w:val="auto"/>
          <w:sz w:val="20"/>
          <w:szCs w:val="20"/>
        </w:rPr>
        <w:t>è stata indetta la gara avente ad oggetto</w:t>
      </w:r>
      <w:r w:rsidR="007810A7" w:rsidRPr="00B21747">
        <w:rPr>
          <w:rFonts w:ascii="Palatino Linotype" w:hAnsi="Palatino Linotype"/>
          <w:color w:val="auto"/>
          <w:sz w:val="20"/>
          <w:szCs w:val="20"/>
        </w:rPr>
        <w:t xml:space="preserve"> </w:t>
      </w:r>
      <w:r w:rsidR="003C6243" w:rsidRPr="00B21747">
        <w:rPr>
          <w:rFonts w:ascii="Palatino Linotype" w:hAnsi="Palatino Linotype"/>
          <w:color w:val="auto"/>
          <w:sz w:val="20"/>
          <w:szCs w:val="20"/>
        </w:rPr>
        <w:t>“</w:t>
      </w:r>
      <w:r w:rsidR="001E440C">
        <w:rPr>
          <w:rFonts w:ascii="Palatino Linotype" w:hAnsi="Palatino Linotype"/>
          <w:i/>
          <w:color w:val="auto"/>
          <w:sz w:val="20"/>
          <w:szCs w:val="20"/>
        </w:rPr>
        <w:t>………….</w:t>
      </w:r>
      <w:r w:rsidR="003C6243" w:rsidRPr="00B21747">
        <w:rPr>
          <w:rFonts w:ascii="Palatino Linotype" w:hAnsi="Palatino Linotype"/>
          <w:i/>
          <w:color w:val="auto"/>
          <w:sz w:val="20"/>
          <w:szCs w:val="20"/>
        </w:rPr>
        <w:t>”;</w:t>
      </w:r>
    </w:p>
    <w:p w14:paraId="3DC88F2C" w14:textId="7C415752"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proofErr w:type="gramStart"/>
      <w:r w:rsidRPr="00512ED3">
        <w:rPr>
          <w:rFonts w:ascii="Palatino Linotype" w:hAnsi="Palatino Linotype"/>
          <w:color w:val="auto"/>
          <w:sz w:val="20"/>
          <w:szCs w:val="20"/>
        </w:rPr>
        <w:t>con</w:t>
      </w:r>
      <w:proofErr w:type="gramEnd"/>
      <w:r w:rsidRPr="00512ED3">
        <w:rPr>
          <w:rFonts w:ascii="Palatino Linotype" w:hAnsi="Palatino Linotype"/>
          <w:color w:val="auto"/>
          <w:sz w:val="20"/>
          <w:szCs w:val="20"/>
        </w:rPr>
        <w:t xml:space="preserve"> determinazione dirigenziale _____________________ è stata disposta l’aggiudicazione della gara in oggetto</w:t>
      </w:r>
      <w:r w:rsidR="007301DA">
        <w:rPr>
          <w:rFonts w:ascii="Palatino Linotype" w:hAnsi="Palatino Linotype"/>
          <w:color w:val="auto"/>
          <w:sz w:val="20"/>
          <w:szCs w:val="20"/>
        </w:rPr>
        <w:t>, re</w:t>
      </w:r>
      <w:r w:rsidR="00685031">
        <w:rPr>
          <w:rFonts w:ascii="Palatino Linotype" w:hAnsi="Palatino Linotype"/>
          <w:color w:val="auto"/>
          <w:sz w:val="20"/>
          <w:szCs w:val="20"/>
        </w:rPr>
        <w:t>lativamente al lotto n.</w:t>
      </w:r>
      <w:r w:rsidR="00B21747">
        <w:rPr>
          <w:rFonts w:ascii="Palatino Linotype" w:hAnsi="Palatino Linotype"/>
          <w:color w:val="auto"/>
          <w:sz w:val="20"/>
          <w:szCs w:val="20"/>
        </w:rPr>
        <w:t>_______</w:t>
      </w:r>
      <w:r w:rsidR="00685031">
        <w:rPr>
          <w:rFonts w:ascii="Palatino Linotype" w:hAnsi="Palatino Linotype"/>
          <w:color w:val="auto"/>
          <w:sz w:val="20"/>
          <w:szCs w:val="20"/>
        </w:rPr>
        <w:t>,</w:t>
      </w:r>
      <w:r w:rsidRPr="00512ED3">
        <w:rPr>
          <w:rFonts w:ascii="Palatino Linotype" w:hAnsi="Palatino Linotype"/>
          <w:color w:val="auto"/>
          <w:sz w:val="20"/>
          <w:szCs w:val="20"/>
        </w:rPr>
        <w:t xml:space="preserve">  in favore del concorrente ____________________;</w:t>
      </w:r>
    </w:p>
    <w:p w14:paraId="522967E5"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i controlli sul possesso dei requisiti in capo all’Aggiudicatario hanno avuto esito positivo, come da Determina dirigenziale n. _____ del _______ sull’intervenuta efficacia dell’aggiudicazione; </w:t>
      </w:r>
    </w:p>
    <w:p w14:paraId="19839F06" w14:textId="77777777" w:rsidR="00CB66F6" w:rsidRPr="00512ED3" w:rsidRDefault="00CB66F6" w:rsidP="00CB66F6">
      <w:pPr>
        <w:pStyle w:val="Default"/>
        <w:numPr>
          <w:ilvl w:val="0"/>
          <w:numId w:val="7"/>
        </w:numPr>
        <w:spacing w:line="240" w:lineRule="auto"/>
        <w:ind w:left="284" w:hanging="284"/>
        <w:rPr>
          <w:rFonts w:ascii="Palatino Linotype" w:hAnsi="Palatino Linotype"/>
          <w:color w:val="auto"/>
          <w:sz w:val="20"/>
          <w:szCs w:val="20"/>
        </w:rPr>
      </w:pPr>
      <w:r w:rsidRPr="00512ED3">
        <w:rPr>
          <w:rFonts w:ascii="Palatino Linotype" w:hAnsi="Palatino Linotype"/>
          <w:color w:val="auto"/>
          <w:sz w:val="20"/>
          <w:szCs w:val="20"/>
        </w:rPr>
        <w:t xml:space="preserve">l’Aggiudicatario ha prodotto la documentazione richiesta nel Disciplinare di gara ai fini della stipula della presente Convenzione;  </w:t>
      </w:r>
    </w:p>
    <w:p w14:paraId="6978730F" w14:textId="77777777" w:rsidR="00CB66F6" w:rsidRPr="00512ED3" w:rsidRDefault="00CB66F6" w:rsidP="00CB66F6">
      <w:pPr>
        <w:pStyle w:val="Default"/>
        <w:spacing w:line="240" w:lineRule="auto"/>
        <w:rPr>
          <w:rFonts w:ascii="Palatino Linotype" w:hAnsi="Palatino Linotype"/>
          <w:color w:val="auto"/>
          <w:sz w:val="20"/>
          <w:szCs w:val="20"/>
        </w:rPr>
      </w:pPr>
    </w:p>
    <w:p w14:paraId="4CE2E40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w:t>
      </w:r>
      <w:r w:rsidRPr="00512ED3">
        <w:rPr>
          <w:rFonts w:ascii="Palatino Linotype" w:hAnsi="Palatino Linotype"/>
          <w:i/>
          <w:iCs/>
          <w:color w:val="auto"/>
          <w:sz w:val="20"/>
          <w:szCs w:val="20"/>
        </w:rPr>
        <w:t>PARTE A SEGUIRE EVENTUALE</w:t>
      </w:r>
      <w:r w:rsidRPr="00512ED3">
        <w:rPr>
          <w:rFonts w:ascii="Palatino Linotype" w:hAnsi="Palatino Linotype"/>
          <w:color w:val="auto"/>
          <w:sz w:val="20"/>
          <w:szCs w:val="20"/>
        </w:rPr>
        <w:t xml:space="preserve">] </w:t>
      </w:r>
    </w:p>
    <w:p w14:paraId="37530217"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la richiesta dell’Informazione Antimafia, inoltrata tramite la BDNA (Banca Dati Nazionale Antimafia), ha il seguente numero di prot. n. _________________ del ___________________;  </w:t>
      </w:r>
    </w:p>
    <w:p w14:paraId="0683F783"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ai sensi dell’art.92 comma 3 del </w:t>
      </w:r>
      <w:proofErr w:type="spellStart"/>
      <w:r w:rsidRPr="00512ED3">
        <w:rPr>
          <w:rFonts w:ascii="Palatino Linotype" w:hAnsi="Palatino Linotype"/>
          <w:i/>
          <w:iCs/>
          <w:color w:val="auto"/>
          <w:sz w:val="20"/>
          <w:szCs w:val="20"/>
        </w:rPr>
        <w:t>D.Lgs.</w:t>
      </w:r>
      <w:proofErr w:type="spellEnd"/>
      <w:r w:rsidRPr="00512ED3">
        <w:rPr>
          <w:rFonts w:ascii="Palatino Linotype" w:hAnsi="Palatino Linotype"/>
          <w:i/>
          <w:iCs/>
          <w:color w:val="auto"/>
          <w:sz w:val="20"/>
          <w:szCs w:val="20"/>
        </w:rPr>
        <w:t xml:space="preserve"> 159/2011 “nei casi di urgenza” le stazioni appaltanti procedono “immediatamente (…) anche in assenza dell'informazione antimafia” e che tale inciso viene notoriamente interpretato come legittimazione, nei casi di urgenza, a procedere immediatamente dopo l’inoltro della richiesta; </w:t>
      </w:r>
    </w:p>
    <w:p w14:paraId="0FBB1730"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il Responsabile del Procedimento ha indicato le ragioni di urgenza nella relazione trasmessa all’Amministratore Unico, affinché quest’ultimo deliberasse l’intervenuta efficacia dell’aggiudicazione;  </w:t>
      </w:r>
    </w:p>
    <w:p w14:paraId="17754191" w14:textId="77777777" w:rsidR="00CB66F6" w:rsidRPr="00512ED3" w:rsidRDefault="00CB66F6" w:rsidP="00CB66F6">
      <w:pPr>
        <w:pStyle w:val="Default"/>
        <w:numPr>
          <w:ilvl w:val="0"/>
          <w:numId w:val="8"/>
        </w:numPr>
        <w:spacing w:line="240" w:lineRule="auto"/>
        <w:ind w:left="360" w:hanging="360"/>
        <w:rPr>
          <w:rFonts w:ascii="Palatino Linotype" w:hAnsi="Palatino Linotype"/>
          <w:color w:val="auto"/>
          <w:sz w:val="20"/>
          <w:szCs w:val="20"/>
        </w:rPr>
      </w:pPr>
      <w:r w:rsidRPr="00512ED3">
        <w:rPr>
          <w:rFonts w:ascii="Palatino Linotype" w:hAnsi="Palatino Linotype"/>
          <w:i/>
          <w:iCs/>
          <w:color w:val="auto"/>
          <w:sz w:val="20"/>
          <w:szCs w:val="20"/>
        </w:rPr>
        <w:t xml:space="preserve">la presente Convenzione viene dunque sottoscritta in assenza dell’informazione antimafia ferme restando le previsioni in merito alla condizione risolutiva e al recesso di cui all’art. 92 commi 3 e 4 del D.Lgs 159/2011; </w:t>
      </w:r>
    </w:p>
    <w:p w14:paraId="7A171232" w14:textId="77777777" w:rsidR="003C6243" w:rsidRDefault="003C6243" w:rsidP="00CB66F6">
      <w:pPr>
        <w:pStyle w:val="Default"/>
        <w:spacing w:line="240" w:lineRule="auto"/>
        <w:jc w:val="center"/>
        <w:rPr>
          <w:rFonts w:ascii="Palatino Linotype" w:hAnsi="Palatino Linotype"/>
          <w:b/>
          <w:color w:val="auto"/>
          <w:sz w:val="20"/>
          <w:szCs w:val="20"/>
        </w:rPr>
      </w:pPr>
    </w:p>
    <w:p w14:paraId="71BFCF7C" w14:textId="77777777" w:rsidR="00B21747" w:rsidRDefault="00B21747" w:rsidP="00CB66F6">
      <w:pPr>
        <w:pStyle w:val="Default"/>
        <w:spacing w:line="240" w:lineRule="auto"/>
        <w:jc w:val="center"/>
        <w:rPr>
          <w:rFonts w:ascii="Palatino Linotype" w:hAnsi="Palatino Linotype"/>
          <w:b/>
          <w:color w:val="auto"/>
          <w:sz w:val="20"/>
          <w:szCs w:val="20"/>
        </w:rPr>
      </w:pPr>
    </w:p>
    <w:p w14:paraId="6687BB0F" w14:textId="77777777" w:rsidR="00B21747" w:rsidRDefault="00B21747" w:rsidP="00CB66F6">
      <w:pPr>
        <w:pStyle w:val="Default"/>
        <w:spacing w:line="240" w:lineRule="auto"/>
        <w:jc w:val="center"/>
        <w:rPr>
          <w:rFonts w:ascii="Palatino Linotype" w:hAnsi="Palatino Linotype"/>
          <w:b/>
          <w:color w:val="auto"/>
          <w:sz w:val="20"/>
          <w:szCs w:val="20"/>
        </w:rPr>
      </w:pPr>
    </w:p>
    <w:p w14:paraId="002027C3" w14:textId="77777777" w:rsidR="00B21747" w:rsidRDefault="00B21747" w:rsidP="00CB66F6">
      <w:pPr>
        <w:pStyle w:val="Default"/>
        <w:spacing w:line="240" w:lineRule="auto"/>
        <w:jc w:val="center"/>
        <w:rPr>
          <w:rFonts w:ascii="Palatino Linotype" w:hAnsi="Palatino Linotype"/>
          <w:b/>
          <w:color w:val="auto"/>
          <w:sz w:val="20"/>
          <w:szCs w:val="20"/>
        </w:rPr>
      </w:pPr>
    </w:p>
    <w:p w14:paraId="0CB69733" w14:textId="77777777" w:rsidR="00CB66F6" w:rsidRPr="00512ED3" w:rsidRDefault="00CB66F6" w:rsidP="00CB66F6">
      <w:pPr>
        <w:pStyle w:val="Default"/>
        <w:spacing w:line="240" w:lineRule="auto"/>
        <w:jc w:val="center"/>
        <w:rPr>
          <w:rFonts w:ascii="Palatino Linotype" w:hAnsi="Palatino Linotype"/>
          <w:b/>
          <w:color w:val="auto"/>
          <w:sz w:val="20"/>
          <w:szCs w:val="20"/>
        </w:rPr>
      </w:pPr>
      <w:r w:rsidRPr="00512ED3">
        <w:rPr>
          <w:rFonts w:ascii="Palatino Linotype" w:hAnsi="Palatino Linotype"/>
          <w:b/>
          <w:color w:val="auto"/>
          <w:sz w:val="20"/>
          <w:szCs w:val="20"/>
        </w:rPr>
        <w:t>Tanto premesso, le Parti convengono quanto segue</w:t>
      </w:r>
    </w:p>
    <w:p w14:paraId="53D32FA1" w14:textId="77777777" w:rsidR="00CB66F6" w:rsidRPr="00512ED3" w:rsidRDefault="00CB66F6" w:rsidP="00CB66F6">
      <w:pPr>
        <w:pStyle w:val="Default"/>
        <w:spacing w:line="240" w:lineRule="auto"/>
        <w:jc w:val="center"/>
        <w:rPr>
          <w:rFonts w:ascii="Palatino Linotype" w:hAnsi="Palatino Linotype"/>
          <w:color w:val="auto"/>
          <w:sz w:val="20"/>
          <w:szCs w:val="20"/>
        </w:rPr>
      </w:pPr>
    </w:p>
    <w:p w14:paraId="67D724DA" w14:textId="77777777" w:rsidR="00CB66F6" w:rsidRPr="00512ED3" w:rsidRDefault="00CB66F6" w:rsidP="00CB66F6">
      <w:pPr>
        <w:pStyle w:val="Titolo2"/>
        <w:numPr>
          <w:ilvl w:val="0"/>
          <w:numId w:val="9"/>
        </w:numPr>
        <w:spacing w:before="0" w:after="0" w:line="240" w:lineRule="auto"/>
        <w:ind w:left="360"/>
        <w:rPr>
          <w:i w:val="0"/>
          <w:szCs w:val="20"/>
        </w:rPr>
      </w:pPr>
      <w:r w:rsidRPr="00512ED3">
        <w:rPr>
          <w:i w:val="0"/>
          <w:szCs w:val="20"/>
        </w:rPr>
        <w:t xml:space="preserve"> </w:t>
      </w:r>
      <w:bookmarkStart w:id="1" w:name="_Toc499191464"/>
      <w:r w:rsidRPr="00512ED3">
        <w:rPr>
          <w:i w:val="0"/>
          <w:szCs w:val="20"/>
        </w:rPr>
        <w:t>Definizioni</w:t>
      </w:r>
      <w:bookmarkEnd w:id="1"/>
    </w:p>
    <w:p w14:paraId="43ADB894"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Amministrazione</w:t>
      </w:r>
      <w:r w:rsidRPr="00512ED3">
        <w:rPr>
          <w:rFonts w:ascii="Palatino Linotype" w:hAnsi="Palatino Linotype"/>
          <w:color w:val="auto"/>
          <w:sz w:val="20"/>
          <w:szCs w:val="20"/>
        </w:rPr>
        <w:t>: Stazione Unica Appaltante della Regione Basilicata</w:t>
      </w:r>
    </w:p>
    <w:p w14:paraId="7A8EE97E"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color w:val="auto"/>
          <w:sz w:val="20"/>
          <w:szCs w:val="20"/>
        </w:rPr>
        <w:t>Stazione Appaltante</w:t>
      </w:r>
      <w:r w:rsidRPr="00512ED3">
        <w:rPr>
          <w:rFonts w:ascii="Palatino Linotype" w:hAnsi="Palatino Linotype"/>
          <w:color w:val="auto"/>
          <w:sz w:val="20"/>
          <w:szCs w:val="20"/>
        </w:rPr>
        <w:t>: Aziende del Servizio Sanitario Regionale</w:t>
      </w:r>
    </w:p>
    <w:p w14:paraId="57A07DE9"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 xml:space="preserve">Convenzione: </w:t>
      </w:r>
      <w:r w:rsidRPr="00512ED3">
        <w:rPr>
          <w:rFonts w:ascii="Palatino Linotype" w:hAnsi="Palatino Linotype"/>
          <w:color w:val="auto"/>
          <w:sz w:val="20"/>
          <w:szCs w:val="20"/>
        </w:rPr>
        <w:t>la presente Convenzione stipulata/da stipulare tra l’Amministrazione e l’Aggiudicatario ai sensi del combinato disposto degli artt. 1, commi 455 e 456 L. 296/2006 e 26, comma 1, L. 488/1999.</w:t>
      </w:r>
    </w:p>
    <w:p w14:paraId="430B264A" w14:textId="792A6408"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Aggiudicatario</w:t>
      </w:r>
      <w:r w:rsidRPr="00512ED3">
        <w:rPr>
          <w:rFonts w:ascii="Palatino Linotype" w:hAnsi="Palatino Linotype"/>
          <w:color w:val="auto"/>
          <w:sz w:val="20"/>
          <w:szCs w:val="20"/>
        </w:rPr>
        <w:t>: il Concorrente risultato aggiudicatario della gara</w:t>
      </w:r>
      <w:r w:rsidR="00307C40">
        <w:rPr>
          <w:rFonts w:ascii="Palatino Linotype" w:hAnsi="Palatino Linotype"/>
          <w:color w:val="auto"/>
          <w:sz w:val="20"/>
          <w:szCs w:val="20"/>
        </w:rPr>
        <w:t>/lotto</w:t>
      </w:r>
    </w:p>
    <w:p w14:paraId="1DC8CC23"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Contratti di fornitura e/o Contratti attuativi</w:t>
      </w:r>
      <w:r w:rsidRPr="00512ED3">
        <w:rPr>
          <w:rFonts w:ascii="Palatino Linotype" w:hAnsi="Palatino Linotype"/>
          <w:color w:val="auto"/>
          <w:sz w:val="20"/>
          <w:szCs w:val="20"/>
        </w:rPr>
        <w:t>: i contratti attuativi della Convenzione stipulati tra le Stazioni Appaltanti e l’Aggiudicatario</w:t>
      </w:r>
    </w:p>
    <w:p w14:paraId="3B4C19BB" w14:textId="1F57F754"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Prestazioni contrattuali</w:t>
      </w:r>
      <w:r w:rsidRPr="00512ED3">
        <w:rPr>
          <w:rFonts w:ascii="Palatino Linotype" w:hAnsi="Palatino Linotype"/>
          <w:color w:val="auto"/>
          <w:sz w:val="20"/>
          <w:szCs w:val="20"/>
        </w:rPr>
        <w:t xml:space="preserve">: prestazioni oggetto della Convenzione e dei contratti di </w:t>
      </w:r>
      <w:r w:rsidR="003C6243">
        <w:rPr>
          <w:rFonts w:ascii="Palatino Linotype" w:hAnsi="Palatino Linotype"/>
          <w:color w:val="auto"/>
          <w:sz w:val="20"/>
          <w:szCs w:val="20"/>
        </w:rPr>
        <w:t>servizio</w:t>
      </w:r>
    </w:p>
    <w:p w14:paraId="7183EB8E" w14:textId="68EA6E01"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b/>
          <w:bCs/>
          <w:color w:val="auto"/>
          <w:sz w:val="20"/>
          <w:szCs w:val="20"/>
        </w:rPr>
        <w:t>Codice</w:t>
      </w:r>
      <w:r w:rsidRPr="00512ED3">
        <w:rPr>
          <w:rFonts w:ascii="Palatino Linotype" w:hAnsi="Palatino Linotype"/>
          <w:color w:val="auto"/>
          <w:sz w:val="20"/>
          <w:szCs w:val="20"/>
        </w:rPr>
        <w:t xml:space="preserve">: il </w:t>
      </w:r>
      <w:proofErr w:type="spellStart"/>
      <w:r w:rsidRPr="00512ED3">
        <w:rPr>
          <w:rFonts w:ascii="Palatino Linotype" w:hAnsi="Palatino Linotype"/>
          <w:color w:val="auto"/>
          <w:sz w:val="20"/>
          <w:szCs w:val="20"/>
        </w:rPr>
        <w:t>D.Lgs.</w:t>
      </w:r>
      <w:proofErr w:type="spellEnd"/>
      <w:r w:rsidRPr="00512ED3">
        <w:rPr>
          <w:rFonts w:ascii="Palatino Linotype" w:hAnsi="Palatino Linotype"/>
          <w:color w:val="auto"/>
          <w:sz w:val="20"/>
          <w:szCs w:val="20"/>
        </w:rPr>
        <w:t xml:space="preserve"> n. 50/2016</w:t>
      </w:r>
      <w:r w:rsidR="00805356">
        <w:rPr>
          <w:rFonts w:ascii="Palatino Linotype" w:hAnsi="Palatino Linotype"/>
          <w:color w:val="auto"/>
          <w:sz w:val="20"/>
          <w:szCs w:val="20"/>
        </w:rPr>
        <w:t xml:space="preserve"> e </w:t>
      </w:r>
      <w:proofErr w:type="spellStart"/>
      <w:r w:rsidR="00805356">
        <w:rPr>
          <w:rFonts w:ascii="Palatino Linotype" w:hAnsi="Palatino Linotype"/>
          <w:color w:val="auto"/>
          <w:sz w:val="20"/>
          <w:szCs w:val="20"/>
        </w:rPr>
        <w:t>s.m.i.</w:t>
      </w:r>
      <w:proofErr w:type="spellEnd"/>
      <w:r w:rsidR="00805356">
        <w:rPr>
          <w:rFonts w:ascii="Palatino Linotype" w:hAnsi="Palatino Linotype"/>
          <w:color w:val="auto"/>
          <w:sz w:val="20"/>
          <w:szCs w:val="20"/>
        </w:rPr>
        <w:t xml:space="preserve"> </w:t>
      </w:r>
    </w:p>
    <w:p w14:paraId="6CF09182" w14:textId="77777777" w:rsidR="00CB66F6" w:rsidRPr="00512ED3" w:rsidRDefault="00CB66F6" w:rsidP="00CB66F6">
      <w:pPr>
        <w:pStyle w:val="Default"/>
        <w:spacing w:line="240" w:lineRule="auto"/>
        <w:rPr>
          <w:rFonts w:ascii="Palatino Linotype" w:hAnsi="Palatino Linotype"/>
          <w:color w:val="auto"/>
          <w:sz w:val="20"/>
          <w:szCs w:val="20"/>
        </w:rPr>
      </w:pPr>
    </w:p>
    <w:p w14:paraId="640B09DB" w14:textId="77777777" w:rsidR="00CB66F6" w:rsidRPr="00512ED3" w:rsidRDefault="00CB66F6" w:rsidP="00CB66F6">
      <w:pPr>
        <w:pStyle w:val="Titolo2"/>
        <w:numPr>
          <w:ilvl w:val="0"/>
          <w:numId w:val="9"/>
        </w:numPr>
        <w:spacing w:before="0" w:after="0" w:line="240" w:lineRule="auto"/>
        <w:ind w:left="360"/>
        <w:rPr>
          <w:i w:val="0"/>
          <w:szCs w:val="20"/>
        </w:rPr>
      </w:pPr>
      <w:bookmarkStart w:id="2" w:name="_Toc499191465"/>
      <w:r w:rsidRPr="00512ED3">
        <w:rPr>
          <w:i w:val="0"/>
          <w:szCs w:val="20"/>
        </w:rPr>
        <w:t>Valore delle premesse e degli atti di gara</w:t>
      </w:r>
      <w:bookmarkEnd w:id="2"/>
      <w:r w:rsidRPr="00512ED3">
        <w:rPr>
          <w:i w:val="0"/>
          <w:szCs w:val="20"/>
        </w:rPr>
        <w:t xml:space="preserve"> </w:t>
      </w:r>
    </w:p>
    <w:p w14:paraId="16860A7A"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Costituiscono parte integrante e sostanziale della presente Convenzione, ancorché non materialmente allegati: </w:t>
      </w:r>
    </w:p>
    <w:p w14:paraId="2F4C9DB9"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le premesse, nonché gli atti e documenti ivi richiamati; </w:t>
      </w:r>
    </w:p>
    <w:p w14:paraId="294B8CEA"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di gara; </w:t>
      </w:r>
    </w:p>
    <w:p w14:paraId="5269A427" w14:textId="77777777" w:rsidR="00CB66F6" w:rsidRPr="00512ED3" w:rsidRDefault="00CB66F6" w:rsidP="00CB66F6">
      <w:pPr>
        <w:pStyle w:val="Default"/>
        <w:numPr>
          <w:ilvl w:val="0"/>
          <w:numId w:val="6"/>
        </w:numPr>
        <w:spacing w:line="240" w:lineRule="auto"/>
        <w:rPr>
          <w:rFonts w:ascii="Palatino Linotype" w:hAnsi="Palatino Linotype"/>
          <w:color w:val="auto"/>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 xml:space="preserve">gli atti e documenti richiamati negli atti di gara e nella presente Convenzione; </w:t>
      </w:r>
    </w:p>
    <w:p w14:paraId="39CB6062" w14:textId="77777777" w:rsidR="00CB66F6" w:rsidRPr="00512ED3" w:rsidRDefault="00CB66F6" w:rsidP="00CB66F6">
      <w:pPr>
        <w:pStyle w:val="Default"/>
        <w:numPr>
          <w:ilvl w:val="0"/>
          <w:numId w:val="6"/>
        </w:numPr>
        <w:spacing w:line="240" w:lineRule="auto"/>
        <w:rPr>
          <w:rFonts w:ascii="Palatino Linotype" w:hAnsi="Palatino Linotype"/>
          <w:sz w:val="20"/>
          <w:szCs w:val="20"/>
        </w:rPr>
      </w:pPr>
      <w:r w:rsidRPr="00512ED3">
        <w:rPr>
          <w:rFonts w:ascii="Palatino Linotype" w:hAnsi="Palatino Linotype" w:cs="Courier New PSMT"/>
          <w:color w:val="auto"/>
          <w:sz w:val="20"/>
          <w:szCs w:val="20"/>
        </w:rPr>
        <w:t>-</w:t>
      </w:r>
      <w:r w:rsidRPr="00512ED3">
        <w:rPr>
          <w:rFonts w:ascii="Palatino Linotype" w:hAnsi="Palatino Linotype" w:cs="Arial"/>
          <w:color w:val="auto"/>
          <w:sz w:val="20"/>
          <w:szCs w:val="20"/>
        </w:rPr>
        <w:t xml:space="preserve"> </w:t>
      </w:r>
      <w:r w:rsidRPr="00512ED3">
        <w:rPr>
          <w:rFonts w:ascii="Palatino Linotype" w:hAnsi="Palatino Linotype"/>
          <w:color w:val="auto"/>
          <w:sz w:val="20"/>
          <w:szCs w:val="20"/>
        </w:rPr>
        <w:t>tutti gli Allegati compilati e prodotti dall’Aggiudicatario (e in particolare l’Offerta Economica, e la garanzia definitiva).</w:t>
      </w:r>
    </w:p>
    <w:p w14:paraId="4A3D5EE0" w14:textId="77777777" w:rsidR="00CB66F6" w:rsidRPr="00512ED3" w:rsidRDefault="00CB66F6" w:rsidP="00CB66F6">
      <w:pPr>
        <w:pStyle w:val="Default"/>
        <w:spacing w:line="240" w:lineRule="auto"/>
        <w:rPr>
          <w:rFonts w:ascii="Palatino Linotype" w:hAnsi="Palatino Linotype"/>
          <w:sz w:val="20"/>
          <w:szCs w:val="20"/>
        </w:rPr>
      </w:pPr>
    </w:p>
    <w:p w14:paraId="2F6D97F5" w14:textId="77777777" w:rsidR="00CB66F6" w:rsidRPr="00512ED3" w:rsidRDefault="00CB66F6" w:rsidP="00CB66F6">
      <w:pPr>
        <w:pStyle w:val="Titolo2"/>
        <w:numPr>
          <w:ilvl w:val="0"/>
          <w:numId w:val="9"/>
        </w:numPr>
        <w:spacing w:before="0" w:after="0" w:line="240" w:lineRule="auto"/>
        <w:ind w:left="360"/>
        <w:rPr>
          <w:i w:val="0"/>
          <w:szCs w:val="20"/>
        </w:rPr>
      </w:pPr>
      <w:bookmarkStart w:id="3" w:name="_Toc499191466"/>
      <w:r w:rsidRPr="00512ED3">
        <w:rPr>
          <w:i w:val="0"/>
          <w:szCs w:val="20"/>
        </w:rPr>
        <w:t>Disciplina applicabile</w:t>
      </w:r>
      <w:bookmarkEnd w:id="3"/>
    </w:p>
    <w:p w14:paraId="1A6B710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è disciplinata, oltre che dal presente atto e dagli altri atti di gara, dal Codice e dalle norme di settore vigenti, ivi inclusa la regolamentazione dettata in materia dalle Autorità pubbliche competenti. </w:t>
      </w:r>
    </w:p>
    <w:p w14:paraId="26DB6638" w14:textId="77777777" w:rsidR="00CB66F6" w:rsidRPr="00512ED3" w:rsidRDefault="00CB66F6" w:rsidP="00CB66F6">
      <w:pPr>
        <w:pStyle w:val="Default"/>
        <w:spacing w:line="240" w:lineRule="auto"/>
        <w:rPr>
          <w:rFonts w:ascii="Palatino Linotype" w:hAnsi="Palatino Linotype"/>
          <w:sz w:val="20"/>
          <w:szCs w:val="20"/>
        </w:rPr>
      </w:pPr>
    </w:p>
    <w:p w14:paraId="49ED3BEC" w14:textId="77777777" w:rsidR="00CB66F6" w:rsidRPr="00512ED3" w:rsidRDefault="00CB66F6" w:rsidP="00CB66F6">
      <w:pPr>
        <w:pStyle w:val="Titolo2"/>
        <w:numPr>
          <w:ilvl w:val="0"/>
          <w:numId w:val="9"/>
        </w:numPr>
        <w:spacing w:before="0" w:after="0" w:line="240" w:lineRule="auto"/>
        <w:ind w:left="360"/>
        <w:rPr>
          <w:i w:val="0"/>
          <w:szCs w:val="20"/>
        </w:rPr>
      </w:pPr>
      <w:bookmarkStart w:id="4" w:name="_Toc499191467"/>
      <w:r w:rsidRPr="00512ED3">
        <w:rPr>
          <w:i w:val="0"/>
          <w:szCs w:val="20"/>
        </w:rPr>
        <w:t>Oggetto e durata della Convenzione</w:t>
      </w:r>
      <w:bookmarkEnd w:id="4"/>
    </w:p>
    <w:p w14:paraId="1378D8AC" w14:textId="1FC639D6" w:rsidR="00B21747" w:rsidRDefault="00CF3488" w:rsidP="00CB66F6">
      <w:pPr>
        <w:pStyle w:val="Default"/>
        <w:spacing w:line="240" w:lineRule="auto"/>
        <w:rPr>
          <w:rFonts w:ascii="Palatino Linotype" w:hAnsi="Palatino Linotype"/>
          <w:sz w:val="20"/>
          <w:szCs w:val="20"/>
        </w:rPr>
      </w:pPr>
      <w:r>
        <w:rPr>
          <w:rFonts w:ascii="Palatino Linotype" w:hAnsi="Palatino Linotype"/>
          <w:sz w:val="20"/>
          <w:szCs w:val="20"/>
        </w:rPr>
        <w:t xml:space="preserve">Oggetto della Convenzione è </w:t>
      </w:r>
      <w:r w:rsidR="00B21747" w:rsidRPr="00B21747">
        <w:rPr>
          <w:rFonts w:ascii="Palatino Linotype" w:hAnsi="Palatino Linotype"/>
          <w:sz w:val="20"/>
          <w:szCs w:val="20"/>
        </w:rPr>
        <w:t xml:space="preserve">l’affidamento della fornitura di </w:t>
      </w:r>
      <w:r w:rsidR="00CD0BA1" w:rsidRPr="00CD0BA1">
        <w:rPr>
          <w:rFonts w:ascii="Palatino Linotype" w:hAnsi="Palatino Linotype"/>
          <w:sz w:val="20"/>
          <w:szCs w:val="20"/>
        </w:rPr>
        <w:t>pannoloni, mutande e traverse</w:t>
      </w:r>
      <w:r w:rsidR="00B21747" w:rsidRPr="00B21747">
        <w:rPr>
          <w:rFonts w:ascii="Palatino Linotype" w:hAnsi="Palatino Linotype"/>
          <w:sz w:val="20"/>
          <w:szCs w:val="20"/>
        </w:rPr>
        <w:t xml:space="preserve"> per le Aziende Sanitarie della Regione Basilicata per la durata di anni 5</w:t>
      </w:r>
    </w:p>
    <w:p w14:paraId="2D20B4D0" w14:textId="26BCFFE6"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In particolare, con la stipula della Convenzione, l’Aggiudicatario si obbliga irrevocabilmente nei confronti delle Stazioni Appaltanti a fornire </w:t>
      </w:r>
      <w:r w:rsidR="003C6243">
        <w:rPr>
          <w:rFonts w:ascii="Palatino Linotype" w:hAnsi="Palatino Linotype"/>
          <w:sz w:val="20"/>
          <w:szCs w:val="20"/>
        </w:rPr>
        <w:t>il servizio</w:t>
      </w:r>
      <w:r w:rsidRPr="00512ED3">
        <w:rPr>
          <w:rFonts w:ascii="Palatino Linotype" w:hAnsi="Palatino Linotype"/>
          <w:sz w:val="20"/>
          <w:szCs w:val="20"/>
        </w:rPr>
        <w:t xml:space="preserve"> di cui sopra </w:t>
      </w:r>
      <w:r w:rsidRPr="00512ED3">
        <w:rPr>
          <w:rFonts w:ascii="Palatino Linotype" w:hAnsi="Palatino Linotype"/>
          <w:bCs/>
          <w:sz w:val="20"/>
          <w:szCs w:val="20"/>
        </w:rPr>
        <w:t>per il lotto</w:t>
      </w:r>
      <w:r w:rsidR="00CF3488">
        <w:rPr>
          <w:rFonts w:ascii="Palatino Linotype" w:hAnsi="Palatino Linotype"/>
          <w:bCs/>
          <w:sz w:val="20"/>
          <w:szCs w:val="20"/>
        </w:rPr>
        <w:t xml:space="preserve"> n.</w:t>
      </w:r>
      <w:r w:rsidRPr="00512ED3">
        <w:rPr>
          <w:rFonts w:ascii="Palatino Linotype" w:hAnsi="Palatino Linotype"/>
          <w:bCs/>
          <w:sz w:val="20"/>
          <w:szCs w:val="20"/>
        </w:rPr>
        <w:t xml:space="preserve"> ______</w:t>
      </w:r>
      <w:r w:rsidR="00CF3488">
        <w:rPr>
          <w:rFonts w:ascii="Palatino Linotype" w:hAnsi="Palatino Linotype"/>
          <w:bCs/>
          <w:sz w:val="20"/>
          <w:szCs w:val="20"/>
        </w:rPr>
        <w:t xml:space="preserve">  </w:t>
      </w:r>
      <w:r w:rsidRPr="00512ED3">
        <w:rPr>
          <w:rFonts w:ascii="Palatino Linotype" w:hAnsi="Palatino Linotype"/>
          <w:bCs/>
          <w:sz w:val="20"/>
          <w:szCs w:val="20"/>
        </w:rPr>
        <w:t xml:space="preserve"> </w:t>
      </w:r>
      <w:r w:rsidRPr="00512ED3">
        <w:rPr>
          <w:rFonts w:ascii="Palatino Linotype" w:hAnsi="Palatino Linotype"/>
          <w:sz w:val="20"/>
          <w:szCs w:val="20"/>
        </w:rPr>
        <w:t xml:space="preserve">e in conformità alla presente Convenzione. </w:t>
      </w:r>
    </w:p>
    <w:p w14:paraId="5AC54E80" w14:textId="3798EA9F"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detta le condizioni generali </w:t>
      </w:r>
      <w:r w:rsidR="003C6243">
        <w:rPr>
          <w:rFonts w:ascii="Palatino Linotype" w:hAnsi="Palatino Linotype"/>
          <w:sz w:val="20"/>
          <w:szCs w:val="20"/>
        </w:rPr>
        <w:t>per</w:t>
      </w:r>
      <w:r w:rsidRPr="00512ED3">
        <w:rPr>
          <w:rFonts w:ascii="Palatino Linotype" w:hAnsi="Palatino Linotype"/>
          <w:sz w:val="20"/>
          <w:szCs w:val="20"/>
        </w:rPr>
        <w:t xml:space="preserve"> ogni contratto di </w:t>
      </w:r>
      <w:r w:rsidR="003C6243">
        <w:rPr>
          <w:rFonts w:ascii="Palatino Linotype" w:hAnsi="Palatino Linotype"/>
          <w:sz w:val="20"/>
          <w:szCs w:val="20"/>
        </w:rPr>
        <w:t>servizio</w:t>
      </w:r>
      <w:r w:rsidRPr="00512ED3">
        <w:rPr>
          <w:rFonts w:ascii="Palatino Linotype" w:hAnsi="Palatino Linotype"/>
          <w:sz w:val="20"/>
          <w:szCs w:val="20"/>
        </w:rPr>
        <w:t xml:space="preserve"> concluso tra la singola Stazione</w:t>
      </w:r>
      <w:r w:rsidR="003C6243">
        <w:rPr>
          <w:rFonts w:ascii="Palatino Linotype" w:hAnsi="Palatino Linotype"/>
          <w:sz w:val="20"/>
          <w:szCs w:val="20"/>
        </w:rPr>
        <w:t xml:space="preserve"> Appaltante e l’Aggiudicatario</w:t>
      </w:r>
      <w:r w:rsidRPr="00512ED3">
        <w:rPr>
          <w:rFonts w:ascii="Palatino Linotype" w:hAnsi="Palatino Linotype"/>
          <w:sz w:val="20"/>
          <w:szCs w:val="20"/>
        </w:rPr>
        <w:t xml:space="preserve">. </w:t>
      </w:r>
    </w:p>
    <w:p w14:paraId="5E617484" w14:textId="4014F9B0"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Convenzione non è fonte di obbligazione per l’Amministrazione nei confronti dell’Aggiudicatario in quanto le obbligazioni sorgono solo a seguito dell’eventuale conclusione dei contratti di </w:t>
      </w:r>
      <w:r w:rsidR="003C6243">
        <w:rPr>
          <w:rFonts w:ascii="Palatino Linotype" w:hAnsi="Palatino Linotype"/>
          <w:sz w:val="20"/>
          <w:szCs w:val="20"/>
        </w:rPr>
        <w:t>servizio</w:t>
      </w:r>
      <w:r w:rsidRPr="00512ED3">
        <w:rPr>
          <w:rFonts w:ascii="Palatino Linotype" w:hAnsi="Palatino Linotype"/>
          <w:sz w:val="20"/>
          <w:szCs w:val="20"/>
        </w:rPr>
        <w:t>.</w:t>
      </w:r>
    </w:p>
    <w:p w14:paraId="5BBFDAFF" w14:textId="27C30840"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Eventuali differenze </w:t>
      </w:r>
      <w:r w:rsidR="00856996">
        <w:rPr>
          <w:rFonts w:ascii="Palatino Linotype" w:hAnsi="Palatino Linotype"/>
          <w:sz w:val="20"/>
          <w:szCs w:val="20"/>
        </w:rPr>
        <w:t xml:space="preserve">tra </w:t>
      </w:r>
      <w:r w:rsidRPr="00512ED3">
        <w:rPr>
          <w:rFonts w:ascii="Palatino Linotype" w:hAnsi="Palatino Linotype"/>
          <w:sz w:val="20"/>
          <w:szCs w:val="20"/>
        </w:rPr>
        <w:t>valore economic</w:t>
      </w:r>
      <w:r w:rsidR="003C6243">
        <w:rPr>
          <w:rFonts w:ascii="Palatino Linotype" w:hAnsi="Palatino Linotype"/>
          <w:sz w:val="20"/>
          <w:szCs w:val="20"/>
        </w:rPr>
        <w:t xml:space="preserve">o complessivo della Convenzione ed i servizi </w:t>
      </w:r>
      <w:r w:rsidRPr="00512ED3">
        <w:rPr>
          <w:rFonts w:ascii="Palatino Linotype" w:hAnsi="Palatino Linotype"/>
          <w:sz w:val="20"/>
          <w:szCs w:val="20"/>
        </w:rPr>
        <w:t xml:space="preserve">effettivamente richiesti non potranno in nessun caso essere fonte di alcuna pretesa risarcitoria o indennitaria da parte dell’Aggiudicatario nei confronti dell’Amministrazione/Stazioni Appaltanti. </w:t>
      </w:r>
    </w:p>
    <w:p w14:paraId="78CEFA41" w14:textId="305243AF" w:rsid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 presente Convenzione ha una durata pari a </w:t>
      </w:r>
      <w:r w:rsidR="00685031">
        <w:rPr>
          <w:rFonts w:ascii="Palatino Linotype" w:hAnsi="Palatino Linotype"/>
          <w:sz w:val="20"/>
          <w:szCs w:val="20"/>
        </w:rPr>
        <w:t>60</w:t>
      </w:r>
      <w:r w:rsidR="00685031" w:rsidRPr="00512ED3">
        <w:rPr>
          <w:rFonts w:ascii="Palatino Linotype" w:hAnsi="Palatino Linotype"/>
          <w:sz w:val="20"/>
          <w:szCs w:val="20"/>
        </w:rPr>
        <w:t xml:space="preserve"> </w:t>
      </w:r>
      <w:r w:rsidRPr="00512ED3">
        <w:rPr>
          <w:rFonts w:ascii="Palatino Linotype" w:hAnsi="Palatino Linotype"/>
          <w:sz w:val="20"/>
          <w:szCs w:val="20"/>
        </w:rPr>
        <w:t>(</w:t>
      </w:r>
      <w:r w:rsidR="00685031">
        <w:rPr>
          <w:rFonts w:ascii="Palatino Linotype" w:hAnsi="Palatino Linotype"/>
          <w:sz w:val="20"/>
          <w:szCs w:val="20"/>
        </w:rPr>
        <w:t>sessanta</w:t>
      </w:r>
      <w:r w:rsidRPr="00512ED3">
        <w:rPr>
          <w:rFonts w:ascii="Palatino Linotype" w:hAnsi="Palatino Linotype"/>
          <w:sz w:val="20"/>
          <w:szCs w:val="20"/>
        </w:rPr>
        <w:t>)</w:t>
      </w:r>
      <w:r w:rsidR="001C6140">
        <w:rPr>
          <w:rFonts w:ascii="Palatino Linotype" w:hAnsi="Palatino Linotype"/>
          <w:sz w:val="20"/>
          <w:szCs w:val="20"/>
        </w:rPr>
        <w:t xml:space="preserve"> mesi </w:t>
      </w:r>
      <w:r w:rsidRPr="00512ED3">
        <w:rPr>
          <w:rFonts w:ascii="Palatino Linotype" w:hAnsi="Palatino Linotype"/>
          <w:sz w:val="20"/>
          <w:szCs w:val="20"/>
        </w:rPr>
        <w:t>decorrenti dalla data di stipula di ciascun contratto ad opera delle Stazioni Appaltanti.</w:t>
      </w:r>
    </w:p>
    <w:p w14:paraId="65B9C751" w14:textId="376395A9" w:rsidR="00CB66F6" w:rsidRPr="006157D5"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 singoli contratti dovranno essere comunque siglati entro 60 giorni dalla </w:t>
      </w:r>
      <w:r w:rsidRPr="00512ED3">
        <w:rPr>
          <w:rFonts w:ascii="Palatino Linotype" w:hAnsi="Palatino Linotype"/>
          <w:color w:val="auto"/>
          <w:sz w:val="20"/>
          <w:szCs w:val="20"/>
        </w:rPr>
        <w:t xml:space="preserve">sottoscrizione della presente Convenzione. </w:t>
      </w:r>
    </w:p>
    <w:p w14:paraId="2B278BDB" w14:textId="513041F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durata della Convenzione si intende il periodo entro il quale le Stazioni Appaltanti potranno </w:t>
      </w:r>
      <w:r w:rsidR="003C6243">
        <w:rPr>
          <w:rFonts w:ascii="Palatino Linotype" w:hAnsi="Palatino Linotype"/>
          <w:sz w:val="20"/>
          <w:szCs w:val="20"/>
        </w:rPr>
        <w:t>sottoscrivere i contratti di servizio</w:t>
      </w:r>
      <w:r w:rsidRPr="00512ED3">
        <w:rPr>
          <w:rFonts w:ascii="Palatino Linotype" w:hAnsi="Palatino Linotype"/>
          <w:sz w:val="20"/>
          <w:szCs w:val="20"/>
        </w:rPr>
        <w:t xml:space="preserve">; ne consegue che la Convenzione resta efficace e vincolante per la regolamentazione dei contratti di </w:t>
      </w:r>
      <w:r w:rsidR="003C6243">
        <w:rPr>
          <w:rFonts w:ascii="Palatino Linotype" w:hAnsi="Palatino Linotype"/>
          <w:sz w:val="20"/>
          <w:szCs w:val="20"/>
        </w:rPr>
        <w:t>servizio</w:t>
      </w:r>
      <w:r w:rsidRPr="00512ED3">
        <w:rPr>
          <w:rFonts w:ascii="Palatino Linotype" w:hAnsi="Palatino Linotype"/>
          <w:sz w:val="20"/>
          <w:szCs w:val="20"/>
        </w:rPr>
        <w:t xml:space="preserve"> e per tutto il tempo di vigenza degli stessi. </w:t>
      </w:r>
    </w:p>
    <w:p w14:paraId="272D1C76" w14:textId="77777777" w:rsidR="00CB66F6" w:rsidRPr="00512ED3" w:rsidRDefault="00CB66F6" w:rsidP="00CB66F6">
      <w:pPr>
        <w:pStyle w:val="Default"/>
        <w:spacing w:line="240" w:lineRule="auto"/>
        <w:rPr>
          <w:rFonts w:ascii="Palatino Linotype" w:hAnsi="Palatino Linotype"/>
          <w:sz w:val="20"/>
          <w:szCs w:val="20"/>
        </w:rPr>
      </w:pPr>
    </w:p>
    <w:p w14:paraId="08A9B4C9" w14:textId="77777777" w:rsidR="00CB66F6" w:rsidRPr="00512ED3" w:rsidRDefault="00CB66F6" w:rsidP="00CB66F6">
      <w:pPr>
        <w:pStyle w:val="Titolo2"/>
        <w:numPr>
          <w:ilvl w:val="0"/>
          <w:numId w:val="9"/>
        </w:numPr>
        <w:spacing w:before="0" w:after="0" w:line="240" w:lineRule="auto"/>
        <w:ind w:left="360"/>
        <w:rPr>
          <w:i w:val="0"/>
          <w:szCs w:val="20"/>
        </w:rPr>
      </w:pPr>
      <w:bookmarkStart w:id="5" w:name="_Toc499191468"/>
      <w:r w:rsidRPr="00512ED3">
        <w:rPr>
          <w:i w:val="0"/>
          <w:szCs w:val="20"/>
        </w:rPr>
        <w:lastRenderedPageBreak/>
        <w:t>Procedura di adesione alla Convenzione</w:t>
      </w:r>
      <w:bookmarkEnd w:id="5"/>
      <w:r w:rsidRPr="00512ED3">
        <w:rPr>
          <w:i w:val="0"/>
          <w:szCs w:val="20"/>
        </w:rPr>
        <w:t xml:space="preserve"> </w:t>
      </w:r>
    </w:p>
    <w:p w14:paraId="7189354B" w14:textId="33AB125D"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attivare la procedura di adesione alla Convenzione, la Stazione Appaltante deve </w:t>
      </w:r>
      <w:r w:rsidR="00C93852">
        <w:rPr>
          <w:rFonts w:ascii="Palatino Linotype" w:hAnsi="Palatino Linotype"/>
          <w:sz w:val="20"/>
          <w:szCs w:val="20"/>
        </w:rPr>
        <w:t>sottoscrivere il contratto di servizio con l’</w:t>
      </w:r>
      <w:r w:rsidRPr="00512ED3">
        <w:rPr>
          <w:rFonts w:ascii="Palatino Linotype" w:hAnsi="Palatino Linotype"/>
          <w:sz w:val="20"/>
          <w:szCs w:val="20"/>
        </w:rPr>
        <w:t>Aggiudicatario.</w:t>
      </w:r>
    </w:p>
    <w:p w14:paraId="37CE79E1" w14:textId="337869B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seguito dell’aggiudicazione, la Stazione Appaltante dovrà acquisire dai servizi </w:t>
      </w:r>
      <w:r w:rsidRPr="00512ED3">
        <w:rPr>
          <w:rFonts w:ascii="Palatino Linotype" w:hAnsi="Palatino Linotype"/>
          <w:i/>
          <w:sz w:val="20"/>
          <w:szCs w:val="20"/>
        </w:rPr>
        <w:t>web</w:t>
      </w:r>
      <w:r w:rsidRPr="00512ED3">
        <w:rPr>
          <w:rFonts w:ascii="Palatino Linotype" w:hAnsi="Palatino Linotype"/>
          <w:sz w:val="20"/>
          <w:szCs w:val="20"/>
        </w:rPr>
        <w:t xml:space="preserve"> dell’A.N.AC. </w:t>
      </w:r>
      <w:proofErr w:type="gramStart"/>
      <w:r w:rsidRPr="00512ED3">
        <w:rPr>
          <w:rFonts w:ascii="Palatino Linotype" w:hAnsi="Palatino Linotype"/>
          <w:sz w:val="20"/>
          <w:szCs w:val="20"/>
        </w:rPr>
        <w:t>un</w:t>
      </w:r>
      <w:proofErr w:type="gramEnd"/>
      <w:r w:rsidRPr="00512ED3">
        <w:rPr>
          <w:rFonts w:ascii="Palatino Linotype" w:hAnsi="Palatino Linotype"/>
          <w:sz w:val="20"/>
          <w:szCs w:val="20"/>
        </w:rPr>
        <w:t xml:space="preserve"> CIG derivato, indicando quale CIG Master ______________ per il Lotto</w:t>
      </w:r>
      <w:r w:rsidR="00B21747">
        <w:rPr>
          <w:rFonts w:ascii="Palatino Linotype" w:hAnsi="Palatino Linotype"/>
          <w:sz w:val="20"/>
          <w:szCs w:val="20"/>
        </w:rPr>
        <w:t>________</w:t>
      </w:r>
      <w:r w:rsidRPr="00512ED3">
        <w:rPr>
          <w:rFonts w:ascii="Palatino Linotype" w:hAnsi="Palatino Linotype"/>
          <w:sz w:val="20"/>
          <w:szCs w:val="20"/>
        </w:rPr>
        <w:t>.</w:t>
      </w:r>
    </w:p>
    <w:p w14:paraId="07267B7E" w14:textId="77777777" w:rsidR="00CB66F6" w:rsidRPr="00512ED3" w:rsidRDefault="00CB66F6" w:rsidP="00CB66F6">
      <w:pPr>
        <w:pStyle w:val="Default"/>
        <w:spacing w:line="240" w:lineRule="auto"/>
        <w:rPr>
          <w:rFonts w:ascii="Palatino Linotype" w:hAnsi="Palatino Linotype"/>
          <w:sz w:val="20"/>
          <w:szCs w:val="20"/>
        </w:rPr>
      </w:pPr>
    </w:p>
    <w:p w14:paraId="6A5C4093" w14:textId="77777777" w:rsidR="00CB66F6" w:rsidRPr="00512ED3" w:rsidRDefault="00CB66F6" w:rsidP="00CB66F6">
      <w:pPr>
        <w:pStyle w:val="Titolo2"/>
        <w:numPr>
          <w:ilvl w:val="0"/>
          <w:numId w:val="9"/>
        </w:numPr>
        <w:spacing w:before="0" w:after="0" w:line="240" w:lineRule="auto"/>
        <w:ind w:left="360"/>
        <w:rPr>
          <w:i w:val="0"/>
          <w:szCs w:val="20"/>
        </w:rPr>
      </w:pPr>
      <w:bookmarkStart w:id="6" w:name="_Toc499191469"/>
      <w:r w:rsidRPr="00512ED3">
        <w:rPr>
          <w:i w:val="0"/>
          <w:szCs w:val="20"/>
        </w:rPr>
        <w:t>Obbligazioni dell’Aggiudicatario</w:t>
      </w:r>
      <w:bookmarkEnd w:id="6"/>
    </w:p>
    <w:p w14:paraId="70264342" w14:textId="5DD5E90E"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con la stipula della Convenzione e per tutto il periodo di vigenza della stessa e dei contratti di </w:t>
      </w:r>
      <w:r w:rsidR="00BB0738">
        <w:rPr>
          <w:rFonts w:ascii="Palatino Linotype" w:hAnsi="Palatino Linotype"/>
          <w:sz w:val="20"/>
          <w:szCs w:val="20"/>
        </w:rPr>
        <w:t>servizio</w:t>
      </w:r>
      <w:r w:rsidRPr="00512ED3">
        <w:rPr>
          <w:rFonts w:ascii="Palatino Linotype" w:hAnsi="Palatino Linotype"/>
          <w:sz w:val="20"/>
          <w:szCs w:val="20"/>
        </w:rPr>
        <w:t xml:space="preserve">: </w:t>
      </w:r>
    </w:p>
    <w:p w14:paraId="1E7136EB" w14:textId="54322329"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proofErr w:type="gramStart"/>
      <w:r w:rsidRPr="00512ED3">
        <w:rPr>
          <w:rFonts w:ascii="Palatino Linotype" w:hAnsi="Palatino Linotype"/>
          <w:sz w:val="20"/>
          <w:szCs w:val="20"/>
        </w:rPr>
        <w:t>si</w:t>
      </w:r>
      <w:proofErr w:type="gramEnd"/>
      <w:r w:rsidRPr="00512ED3">
        <w:rPr>
          <w:rFonts w:ascii="Palatino Linotype" w:hAnsi="Palatino Linotype"/>
          <w:sz w:val="20"/>
          <w:szCs w:val="20"/>
        </w:rPr>
        <w:t xml:space="preserve"> obbliga a fornire il servizio di cui sopra</w:t>
      </w:r>
      <w:r w:rsidRPr="00512ED3">
        <w:rPr>
          <w:rFonts w:ascii="Palatino Linotype" w:hAnsi="Palatino Linotype"/>
          <w:bCs/>
          <w:sz w:val="20"/>
          <w:szCs w:val="20"/>
        </w:rPr>
        <w:t xml:space="preserve"> per il lotto</w:t>
      </w:r>
      <w:r w:rsidR="003832D6">
        <w:rPr>
          <w:rFonts w:ascii="Palatino Linotype" w:hAnsi="Palatino Linotype"/>
          <w:bCs/>
          <w:sz w:val="20"/>
          <w:szCs w:val="20"/>
        </w:rPr>
        <w:t xml:space="preserve"> n.</w:t>
      </w:r>
      <w:r w:rsidR="003832D6" w:rsidRPr="003832D6">
        <w:rPr>
          <w:rFonts w:ascii="Palatino Linotype" w:hAnsi="Palatino Linotype"/>
          <w:bCs/>
          <w:sz w:val="20"/>
          <w:szCs w:val="20"/>
        </w:rPr>
        <w:t xml:space="preserve"> </w:t>
      </w:r>
      <w:r w:rsidR="00B21747">
        <w:rPr>
          <w:rFonts w:ascii="Palatino Linotype" w:hAnsi="Palatino Linotype"/>
          <w:bCs/>
          <w:sz w:val="20"/>
          <w:szCs w:val="20"/>
        </w:rPr>
        <w:t>______</w:t>
      </w:r>
      <w:r w:rsidR="003832D6">
        <w:rPr>
          <w:rFonts w:ascii="Palatino Linotype" w:hAnsi="Palatino Linotype"/>
          <w:bCs/>
          <w:sz w:val="20"/>
          <w:szCs w:val="20"/>
        </w:rPr>
        <w:t xml:space="preserve"> </w:t>
      </w:r>
      <w:r w:rsidRPr="00512ED3">
        <w:rPr>
          <w:rFonts w:ascii="Palatino Linotype" w:hAnsi="Palatino Linotype"/>
          <w:sz w:val="20"/>
          <w:szCs w:val="20"/>
        </w:rPr>
        <w:t>e in conformità alla presente Convenzione;</w:t>
      </w:r>
    </w:p>
    <w:p w14:paraId="78548DDD" w14:textId="7DBCA9F6"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 eseguire </w:t>
      </w:r>
      <w:r w:rsidR="00BB0738">
        <w:rPr>
          <w:rFonts w:ascii="Palatino Linotype" w:hAnsi="Palatino Linotype"/>
          <w:sz w:val="20"/>
          <w:szCs w:val="20"/>
        </w:rPr>
        <w:t>il servizio</w:t>
      </w:r>
      <w:r w:rsidRPr="00512ED3">
        <w:rPr>
          <w:rFonts w:ascii="Palatino Linotype" w:hAnsi="Palatino Linotype"/>
          <w:sz w:val="20"/>
          <w:szCs w:val="20"/>
        </w:rPr>
        <w:t xml:space="preserve"> oggetto della Convenzione in conformità a quanto previsto dalla normativa di settore, nel rispetto degli atti di gara e </w:t>
      </w:r>
      <w:r w:rsidR="00BB0738">
        <w:rPr>
          <w:rFonts w:ascii="Palatino Linotype" w:hAnsi="Palatino Linotype"/>
          <w:sz w:val="20"/>
          <w:szCs w:val="20"/>
        </w:rPr>
        <w:t xml:space="preserve">del contratto di servizio da sottoscrivere con le singole </w:t>
      </w:r>
      <w:r w:rsidRPr="00512ED3">
        <w:rPr>
          <w:rFonts w:ascii="Palatino Linotype" w:hAnsi="Palatino Linotype"/>
          <w:sz w:val="20"/>
          <w:szCs w:val="20"/>
        </w:rPr>
        <w:t>Stazioni Appaltanti</w:t>
      </w:r>
      <w:r w:rsidR="00BB0738">
        <w:rPr>
          <w:rFonts w:ascii="Palatino Linotype" w:hAnsi="Palatino Linotype"/>
          <w:sz w:val="20"/>
          <w:szCs w:val="20"/>
        </w:rPr>
        <w:t>, in ragione di quanto previsto e descritto negli atti di gara e nell’offerta tecnica ed economica</w:t>
      </w:r>
      <w:r w:rsidRPr="00512ED3">
        <w:rPr>
          <w:rFonts w:ascii="Palatino Linotype" w:hAnsi="Palatino Linotype"/>
          <w:sz w:val="20"/>
          <w:szCs w:val="20"/>
        </w:rPr>
        <w:t>;</w:t>
      </w:r>
    </w:p>
    <w:p w14:paraId="5ED355D6"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ad eseguire le prestazioni contrattuali con continuità, anche in caso di eventuali variazioni della consistenza e dislocazione delle sedi e degli uffici delle Stazioni Appaltanti; </w:t>
      </w:r>
    </w:p>
    <w:p w14:paraId="6C90EB00" w14:textId="7EC82478"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si impegna a prestare la massima collaborazione, anche tecnica, al fine di garantire detta continuità anche qualora, per qualsiasi motivo, cessi l’efficacia della Conv</w:t>
      </w:r>
      <w:r w:rsidR="00DA3458">
        <w:rPr>
          <w:rFonts w:ascii="Palatino Linotype" w:hAnsi="Palatino Linotype"/>
          <w:sz w:val="20"/>
          <w:szCs w:val="20"/>
        </w:rPr>
        <w:t>enzione o del singolo contratto</w:t>
      </w:r>
      <w:r w:rsidRPr="00512ED3">
        <w:rPr>
          <w:rFonts w:ascii="Palatino Linotype" w:hAnsi="Palatino Linotype"/>
          <w:sz w:val="20"/>
          <w:szCs w:val="20"/>
        </w:rPr>
        <w:t xml:space="preserve">; </w:t>
      </w:r>
    </w:p>
    <w:p w14:paraId="0E944D4C"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dichiara di accettare e rispettare tutto quanto previsto nella Convenzione e negli altri atti di gara;</w:t>
      </w:r>
    </w:p>
    <w:p w14:paraId="6A661E78" w14:textId="6B6D8E15"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si impegna a farsi carico di tutti gli oneri e rischi relativi al corretto e completo adempimento delle prestazioni contrattuali (ivi compresa ogni attività che si rendesse necessaria o comunque opportuna per il corretto e completo adempimento delle stesse) che, unitamente agli obblighi ed oneri derivanti dagli atti di gara, dall’esecuzione della Convenzione e dei singoli contratti di </w:t>
      </w:r>
      <w:r w:rsidR="00DA3458">
        <w:rPr>
          <w:rFonts w:ascii="Palatino Linotype" w:hAnsi="Palatino Linotype"/>
          <w:sz w:val="20"/>
          <w:szCs w:val="20"/>
        </w:rPr>
        <w:t>servizio</w:t>
      </w:r>
      <w:r w:rsidRPr="00512ED3">
        <w:rPr>
          <w:rFonts w:ascii="Palatino Linotype" w:hAnsi="Palatino Linotype"/>
          <w:sz w:val="20"/>
          <w:szCs w:val="20"/>
        </w:rPr>
        <w:t>, dall’osservanza della normativa di settore nonché dalle disposizioni emanate dalle competenti Autorità, considera remunerati con il corrispettivo contrattuale; e che, pertanto, non potrà avanzare pretesa di compensi a tal titolo, nei confronti delle Stazioni Appaltanti e/o dell’Amministrazione, assumendosene ogni relativa alea;</w:t>
      </w:r>
    </w:p>
    <w:p w14:paraId="6AABD4D5" w14:textId="227481AD"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dichiara che quanto risulta dalla presente Convenzione e dagli altri atti di gara definisce in modo adeguato e completo l’oggetto delle prestazioni da </w:t>
      </w:r>
      <w:r w:rsidR="00DA3458">
        <w:rPr>
          <w:rFonts w:ascii="Palatino Linotype" w:hAnsi="Palatino Linotype"/>
          <w:sz w:val="20"/>
          <w:szCs w:val="20"/>
        </w:rPr>
        <w:t>eseguire</w:t>
      </w:r>
      <w:r w:rsidRPr="00512ED3">
        <w:rPr>
          <w:rFonts w:ascii="Palatino Linotype" w:hAnsi="Palatino Linotype"/>
          <w:sz w:val="20"/>
          <w:szCs w:val="20"/>
        </w:rPr>
        <w:t xml:space="preserve"> che, in ogni caso, ha potuto acquisire tutti gli elementi utili per la formulazione dell’offerta; </w:t>
      </w:r>
    </w:p>
    <w:p w14:paraId="5D10D727"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prende atto che i corrispettivi contrattuali e il prezzo offerto sono stati determinati a proprio rischio in base ai propri calcoli, indagini e stime;</w:t>
      </w:r>
    </w:p>
    <w:p w14:paraId="6A1AE2F5"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al fine di garantire un elevato livello nella esecuzione delle prestazioni contrattuali, si impegna a impiegare il personale necessario, a predisporre tutti gli strumenti e metodi, anche in materia di sicurezza e riservatezza e a rispettare, per quanto applicabili, le norme vigenti per la gestione e l’assicurazione della qualità delle proprie prestazioni;</w:t>
      </w:r>
    </w:p>
    <w:p w14:paraId="2481D182"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è tenuto a comunicare tempestivamente all’Amministrazione e alle Stazioni Appaltanti le modificazioni negli assetti proprietari, negli organismi tecnici e amministrativi e nella struttura di impresa in generale, ove prescritto per legge; </w:t>
      </w:r>
    </w:p>
    <w:p w14:paraId="234F2F69"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 xml:space="preserve">è tenuto a comunicare tempestivamente all’Amministrazione e alle Stazioni Appaltanti le variazioni della propria struttura organizzativa rilevanti ai fini della corretta esecuzione delle prestazioni contrattuali, unitamente ai nominativi dei nuovi responsabili e referenti; </w:t>
      </w:r>
    </w:p>
    <w:p w14:paraId="2FDA980D" w14:textId="77777777" w:rsidR="00CB66F6" w:rsidRPr="00512ED3" w:rsidRDefault="00CB66F6" w:rsidP="00CB66F6">
      <w:pPr>
        <w:pStyle w:val="Default"/>
        <w:numPr>
          <w:ilvl w:val="0"/>
          <w:numId w:val="7"/>
        </w:numPr>
        <w:spacing w:line="240" w:lineRule="auto"/>
        <w:ind w:left="284" w:hanging="284"/>
        <w:rPr>
          <w:rFonts w:ascii="Palatino Linotype" w:hAnsi="Palatino Linotype"/>
          <w:sz w:val="20"/>
          <w:szCs w:val="20"/>
        </w:rPr>
      </w:pPr>
      <w:r w:rsidRPr="00512ED3">
        <w:rPr>
          <w:rFonts w:ascii="Palatino Linotype" w:hAnsi="Palatino Linotype"/>
          <w:sz w:val="20"/>
          <w:szCs w:val="20"/>
        </w:rPr>
        <w:t>dichiara di aver presentato congruamente la documentazione richiesta nel Disciplinare ai fini della stipula della presente Convenzione e dei contratti.</w:t>
      </w:r>
    </w:p>
    <w:p w14:paraId="7007FA72" w14:textId="77777777" w:rsidR="00CB66F6" w:rsidRPr="00512ED3" w:rsidRDefault="00CB66F6" w:rsidP="00CB66F6">
      <w:pPr>
        <w:pStyle w:val="Default"/>
        <w:spacing w:line="240" w:lineRule="auto"/>
        <w:ind w:left="284"/>
        <w:rPr>
          <w:rFonts w:ascii="Palatino Linotype" w:hAnsi="Palatino Linotype"/>
          <w:sz w:val="20"/>
          <w:szCs w:val="20"/>
        </w:rPr>
      </w:pPr>
    </w:p>
    <w:p w14:paraId="7D1FCB71" w14:textId="77777777" w:rsidR="00CB66F6" w:rsidRPr="00512ED3" w:rsidRDefault="00CB66F6" w:rsidP="00CB66F6">
      <w:pPr>
        <w:pStyle w:val="Titolo2"/>
        <w:numPr>
          <w:ilvl w:val="0"/>
          <w:numId w:val="9"/>
        </w:numPr>
        <w:spacing w:before="0" w:after="0" w:line="240" w:lineRule="auto"/>
        <w:ind w:left="360"/>
        <w:rPr>
          <w:i w:val="0"/>
          <w:szCs w:val="20"/>
        </w:rPr>
      </w:pPr>
      <w:bookmarkStart w:id="7" w:name="_Toc499191470"/>
      <w:r w:rsidRPr="00512ED3">
        <w:rPr>
          <w:i w:val="0"/>
          <w:szCs w:val="20"/>
        </w:rPr>
        <w:t>Controlli sulla corretta esecuzione delle prestazioni contrattuali</w:t>
      </w:r>
      <w:bookmarkEnd w:id="7"/>
    </w:p>
    <w:p w14:paraId="47CC9AC6" w14:textId="053B57F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Ciascuna Stazione Appaltante contraente </w:t>
      </w:r>
      <w:r w:rsidR="00DA3458">
        <w:rPr>
          <w:rFonts w:ascii="Palatino Linotype" w:hAnsi="Palatino Linotype"/>
          <w:sz w:val="20"/>
          <w:szCs w:val="20"/>
        </w:rPr>
        <w:t xml:space="preserve">ha </w:t>
      </w:r>
      <w:r w:rsidRPr="00512ED3">
        <w:rPr>
          <w:rFonts w:ascii="Palatino Linotype" w:hAnsi="Palatino Linotype"/>
          <w:sz w:val="20"/>
          <w:szCs w:val="20"/>
        </w:rPr>
        <w:t>nomina</w:t>
      </w:r>
      <w:r w:rsidR="00DA3458">
        <w:rPr>
          <w:rFonts w:ascii="Palatino Linotype" w:hAnsi="Palatino Linotype"/>
          <w:sz w:val="20"/>
          <w:szCs w:val="20"/>
        </w:rPr>
        <w:t>to</w:t>
      </w:r>
      <w:r w:rsidRPr="00512ED3">
        <w:rPr>
          <w:rFonts w:ascii="Palatino Linotype" w:hAnsi="Palatino Linotype"/>
          <w:sz w:val="20"/>
          <w:szCs w:val="20"/>
        </w:rPr>
        <w:t xml:space="preserve">, in riferimento al proprio contratto di </w:t>
      </w:r>
      <w:r>
        <w:rPr>
          <w:rFonts w:ascii="Palatino Linotype" w:hAnsi="Palatino Linotype"/>
          <w:sz w:val="20"/>
          <w:szCs w:val="20"/>
        </w:rPr>
        <w:t>servizio</w:t>
      </w:r>
      <w:r w:rsidRPr="00512ED3">
        <w:rPr>
          <w:rFonts w:ascii="Palatino Linotype" w:hAnsi="Palatino Linotype"/>
          <w:sz w:val="20"/>
          <w:szCs w:val="20"/>
        </w:rPr>
        <w:t xml:space="preserve">, un Responsabile del Procedimento tenuto anche a verificare la conformità delle prestazioni contrattuali. Il </w:t>
      </w:r>
      <w:r w:rsidRPr="00512ED3">
        <w:rPr>
          <w:rFonts w:ascii="Palatino Linotype" w:hAnsi="Palatino Linotype"/>
          <w:sz w:val="20"/>
          <w:szCs w:val="20"/>
        </w:rPr>
        <w:lastRenderedPageBreak/>
        <w:t>nominativo del Responsabile del Procedimento, e quello del direttore dell'esecuzione, ove nominato, andranno comunicati all’Aggiudicatario.</w:t>
      </w:r>
    </w:p>
    <w:p w14:paraId="0F5A66F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 tal fine, le Stazioni Appaltanti contraenti hanno l’onere di richiedere all’Aggiudicatario informazioni circa l’andamento dell’esecuzione dei contratti, contestare eventuali inadempimenti, applicare le penali di propria competenza e impartire indicazioni operative alle quali l’Aggiudicatario è tenuto ad adeguarsi immediatamente. </w:t>
      </w:r>
    </w:p>
    <w:p w14:paraId="1A2DAF3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L’Amministrazione non è responsabile degli eventuali inadempimenti dell’Aggiudicatario che, le Stazioni Appaltanti devono contestare direttamente all’Aggiudicatario e notificare (solo) per conoscenza all’Amministrazione.</w:t>
      </w:r>
    </w:p>
    <w:p w14:paraId="65A7600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L’Aggiudicatario si obbliga a consentire alle Stazioni Appaltanti, per quanto di propria competenza, di procedere, in qualsiasi momento e anche senza preavviso, alle verifiche della piena e corretta esecuzione delle prestazioni contrattuali, nonché a prestare la propria collaborazione per consentire lo svolgimento di tali verifiche. L’Aggiudicatario si obbliga, pertanto, a rispettare tutte le indicazioni operative che dovessero essere impartite dalle Stazioni Appaltanti.</w:t>
      </w:r>
    </w:p>
    <w:p w14:paraId="611C4D07" w14:textId="77777777" w:rsidR="00CB66F6" w:rsidRPr="00512ED3" w:rsidRDefault="00CB66F6" w:rsidP="00CB66F6">
      <w:pPr>
        <w:pStyle w:val="Default"/>
        <w:spacing w:line="240" w:lineRule="auto"/>
        <w:rPr>
          <w:rFonts w:ascii="Palatino Linotype" w:hAnsi="Palatino Linotype"/>
          <w:sz w:val="20"/>
          <w:szCs w:val="20"/>
        </w:rPr>
      </w:pPr>
    </w:p>
    <w:p w14:paraId="15C3E6E1" w14:textId="77777777" w:rsidR="00CB66F6" w:rsidRPr="00512ED3" w:rsidRDefault="00CB66F6" w:rsidP="00CB66F6">
      <w:pPr>
        <w:pStyle w:val="Titolo2"/>
        <w:numPr>
          <w:ilvl w:val="0"/>
          <w:numId w:val="9"/>
        </w:numPr>
        <w:spacing w:before="0" w:after="0" w:line="240" w:lineRule="auto"/>
        <w:ind w:left="360"/>
        <w:rPr>
          <w:i w:val="0"/>
          <w:szCs w:val="20"/>
        </w:rPr>
      </w:pPr>
      <w:bookmarkStart w:id="8" w:name="_Toc499191471"/>
      <w:r w:rsidRPr="00512ED3">
        <w:rPr>
          <w:i w:val="0"/>
          <w:szCs w:val="20"/>
        </w:rPr>
        <w:t>Corrispettivo, fatturazione, modalità e tempi di pagamento</w:t>
      </w:r>
      <w:bookmarkEnd w:id="8"/>
      <w:r w:rsidRPr="00512ED3">
        <w:rPr>
          <w:i w:val="0"/>
          <w:szCs w:val="20"/>
        </w:rPr>
        <w:t xml:space="preserve">  </w:t>
      </w:r>
    </w:p>
    <w:p w14:paraId="177CF758" w14:textId="77777777"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bCs/>
          <w:color w:val="auto"/>
          <w:sz w:val="20"/>
          <w:szCs w:val="20"/>
        </w:rPr>
        <w:t>In riferimento al corrispettivo, alle modalità e tempi di pagamento, nonché alle modalità di fatturazione, si rinvia alle disposizioni del capitolato tecnico, descrittivo e prestazionale, nonché al contratto che ciascuna Stazione appaltante stipulerà con l’Aggiudicatario.</w:t>
      </w:r>
    </w:p>
    <w:p w14:paraId="3029A7E3" w14:textId="16EDFE74" w:rsidR="00CB66F6" w:rsidRPr="00512ED3" w:rsidRDefault="00CB66F6" w:rsidP="00CB66F6">
      <w:pPr>
        <w:pStyle w:val="Default"/>
        <w:spacing w:line="240" w:lineRule="auto"/>
        <w:rPr>
          <w:rFonts w:ascii="Palatino Linotype" w:hAnsi="Palatino Linotype"/>
          <w:bCs/>
          <w:color w:val="auto"/>
          <w:sz w:val="20"/>
          <w:szCs w:val="20"/>
        </w:rPr>
      </w:pPr>
      <w:r w:rsidRPr="00512ED3">
        <w:rPr>
          <w:rFonts w:ascii="Palatino Linotype" w:hAnsi="Palatino Linotype"/>
          <w:color w:val="auto"/>
          <w:sz w:val="20"/>
          <w:szCs w:val="20"/>
        </w:rPr>
        <w:t xml:space="preserve">Il corrispettivo dovuto dalla Stazione Appaltante all’Aggiudicatario dovrà essere accreditato, a spese della suddetta Stazione Appaltante, sul conto corrente n.___________________ intestato all’Aggiudicatario presso ________________________, codice IBAN ____________________, </w:t>
      </w:r>
      <w:r w:rsidRPr="00512ED3">
        <w:rPr>
          <w:rFonts w:ascii="Palatino Linotype" w:hAnsi="Palatino Linotype"/>
          <w:bCs/>
          <w:color w:val="auto"/>
          <w:sz w:val="20"/>
          <w:szCs w:val="20"/>
        </w:rPr>
        <w:t xml:space="preserve">entro </w:t>
      </w:r>
      <w:r w:rsidR="00DA7799">
        <w:rPr>
          <w:rFonts w:ascii="Palatino Linotype" w:hAnsi="Palatino Linotype"/>
          <w:bCs/>
          <w:color w:val="auto"/>
          <w:sz w:val="20"/>
          <w:szCs w:val="20"/>
        </w:rPr>
        <w:t>trenta</w:t>
      </w:r>
      <w:r w:rsidRPr="00512ED3">
        <w:rPr>
          <w:rFonts w:ascii="Palatino Linotype" w:hAnsi="Palatino Linotype"/>
          <w:bCs/>
          <w:color w:val="auto"/>
          <w:sz w:val="20"/>
          <w:szCs w:val="20"/>
        </w:rPr>
        <w:t xml:space="preserve"> giorni dalla data di emissione della fattura stessa.</w:t>
      </w:r>
    </w:p>
    <w:p w14:paraId="491A7CCA" w14:textId="77777777" w:rsidR="00CB66F6" w:rsidRPr="00512ED3" w:rsidRDefault="00CB66F6" w:rsidP="00CB66F6">
      <w:pPr>
        <w:pStyle w:val="Default"/>
        <w:spacing w:line="240" w:lineRule="auto"/>
        <w:rPr>
          <w:rFonts w:ascii="Palatino Linotype" w:hAnsi="Palatino Linotype"/>
          <w:color w:val="auto"/>
          <w:sz w:val="20"/>
          <w:szCs w:val="20"/>
        </w:rPr>
      </w:pPr>
    </w:p>
    <w:p w14:paraId="18323C9C" w14:textId="77777777" w:rsidR="00CB66F6" w:rsidRPr="00512ED3" w:rsidRDefault="00CB66F6" w:rsidP="00CB66F6">
      <w:pPr>
        <w:pStyle w:val="Titolo2"/>
        <w:numPr>
          <w:ilvl w:val="0"/>
          <w:numId w:val="9"/>
        </w:numPr>
        <w:spacing w:before="0" w:after="0" w:line="240" w:lineRule="auto"/>
        <w:ind w:left="360"/>
        <w:rPr>
          <w:i w:val="0"/>
          <w:szCs w:val="20"/>
        </w:rPr>
      </w:pPr>
      <w:bookmarkStart w:id="9" w:name="_Toc499191472"/>
      <w:r w:rsidRPr="00512ED3">
        <w:rPr>
          <w:i w:val="0"/>
          <w:szCs w:val="20"/>
        </w:rPr>
        <w:t>Tracciabilità dei flussi finanziari</w:t>
      </w:r>
      <w:bookmarkEnd w:id="9"/>
      <w:r w:rsidRPr="00512ED3">
        <w:rPr>
          <w:i w:val="0"/>
          <w:szCs w:val="20"/>
        </w:rPr>
        <w:t xml:space="preserve"> </w:t>
      </w:r>
    </w:p>
    <w:p w14:paraId="5A4BDD60"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Con la stipula della presente Convenzione, oltre che dei singoli contratti con ciascuna Stazione Appaltante, l’Aggiudicatario assume gli obblighi in materia di tracciabilità dei flussi finanziari di cui alla Legge 136/2010. </w:t>
      </w:r>
    </w:p>
    <w:p w14:paraId="2B788843" w14:textId="43476B94"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In particolare, indica nel precedente paragrafo gli estremi del conto corrente “dedicato”, ai sensi dell’art. 3 della L. 136/2010. L’Aggiudicatario si impegna a confermare tali dati alle Stazioni Appaltanti, nonché a comunicare tempestivamente alle stesse e all’Amministrazione ogni successiva eventuale modifica ai suddetti dati. </w:t>
      </w:r>
    </w:p>
    <w:p w14:paraId="4A104AC1"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L’Aggiudicatario si impegna affinché in ogni eventuale subcontratto (compreso il contratto di subappalto) venga inserita, a pena di nullità assoluta, un’apposita clausola con la quale il subcontraente assume gli obblighi di tracciabilità dei flussi finanziari di cui alla Legge 136/2010, restando inteso che è facoltà della Stazione Appaltante richiedere copia del contratto tra l’Aggiudicatario ed il subcontraente per verificare l’inserimento della clausola. </w:t>
      </w:r>
    </w:p>
    <w:p w14:paraId="6E10B4D6"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Ai sensi del comma 9-</w:t>
      </w:r>
      <w:r w:rsidRPr="00512ED3">
        <w:rPr>
          <w:rFonts w:ascii="Palatino Linotype" w:hAnsi="Palatino Linotype"/>
          <w:iCs/>
          <w:color w:val="auto"/>
          <w:sz w:val="20"/>
          <w:szCs w:val="20"/>
        </w:rPr>
        <w:t>bis</w:t>
      </w:r>
      <w:r w:rsidRPr="00512ED3">
        <w:rPr>
          <w:rFonts w:ascii="Palatino Linotype" w:hAnsi="Palatino Linotype"/>
          <w:color w:val="auto"/>
          <w:sz w:val="20"/>
          <w:szCs w:val="20"/>
        </w:rPr>
        <w:t xml:space="preserve"> del richiamato art. 3, il mancato utilizzo del bonifico bancario o postale ovvero di altri strumenti idonei a consentire la piena tracciabilità delle operazioni costituisce causa di risoluzione del contratto. Gli strumenti di pagamento devono riportare il CIG derivato, come sopra specificato.</w:t>
      </w:r>
    </w:p>
    <w:p w14:paraId="11F67712" w14:textId="7777777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 xml:space="preserve">Per tutto quanto non espressamente previsto si rimanda alle disposizioni di cui alla L.136/2010. </w:t>
      </w:r>
    </w:p>
    <w:p w14:paraId="3742B4CC" w14:textId="77777777" w:rsidR="00CB66F6" w:rsidRPr="00512ED3" w:rsidRDefault="00CB66F6" w:rsidP="00CB66F6">
      <w:pPr>
        <w:pStyle w:val="Default"/>
        <w:spacing w:line="240" w:lineRule="auto"/>
        <w:rPr>
          <w:rFonts w:ascii="Palatino Linotype" w:hAnsi="Palatino Linotype"/>
          <w:color w:val="auto"/>
          <w:sz w:val="20"/>
          <w:szCs w:val="20"/>
        </w:rPr>
      </w:pPr>
    </w:p>
    <w:p w14:paraId="151EC5FC"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0" w:name="_Toc499191473"/>
      <w:r w:rsidRPr="00512ED3">
        <w:rPr>
          <w:i w:val="0"/>
          <w:szCs w:val="20"/>
        </w:rPr>
        <w:t>Penali a carico dell’Aggiudicatario</w:t>
      </w:r>
      <w:bookmarkEnd w:id="10"/>
    </w:p>
    <w:p w14:paraId="589E2026" w14:textId="25F6D287"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color w:val="auto"/>
          <w:sz w:val="20"/>
          <w:szCs w:val="20"/>
        </w:rPr>
        <w:t>In riferimento alle penali a carico dell’Aggiudicatario, si rinvia alle disposizioni del capitolato tecnico, descrittivo e prestazionale, nonché al contratto che ciascuna Stazione appaltante stipulerà con lo stesso.</w:t>
      </w:r>
    </w:p>
    <w:p w14:paraId="45443635" w14:textId="77777777" w:rsidR="00CB66F6" w:rsidRPr="00512ED3" w:rsidRDefault="00CB66F6" w:rsidP="00CB66F6">
      <w:pPr>
        <w:pStyle w:val="Default"/>
        <w:spacing w:line="240" w:lineRule="auto"/>
        <w:rPr>
          <w:rFonts w:ascii="Palatino Linotype" w:hAnsi="Palatino Linotype"/>
          <w:color w:val="auto"/>
          <w:sz w:val="20"/>
          <w:szCs w:val="20"/>
        </w:rPr>
      </w:pPr>
    </w:p>
    <w:p w14:paraId="64E07860" w14:textId="77777777" w:rsidR="00CB66F6" w:rsidRPr="003F6B80" w:rsidRDefault="00CB66F6" w:rsidP="00CB66F6">
      <w:pPr>
        <w:pStyle w:val="Titolo2"/>
        <w:numPr>
          <w:ilvl w:val="0"/>
          <w:numId w:val="9"/>
        </w:numPr>
        <w:spacing w:before="0" w:after="0" w:line="240" w:lineRule="auto"/>
        <w:ind w:left="426" w:hanging="426"/>
        <w:rPr>
          <w:i w:val="0"/>
          <w:szCs w:val="20"/>
        </w:rPr>
      </w:pPr>
      <w:bookmarkStart w:id="11" w:name="_Toc499191474"/>
      <w:r w:rsidRPr="003F6B80">
        <w:rPr>
          <w:i w:val="0"/>
          <w:szCs w:val="20"/>
        </w:rPr>
        <w:lastRenderedPageBreak/>
        <w:t>Garanzia definitiva</w:t>
      </w:r>
      <w:bookmarkEnd w:id="11"/>
    </w:p>
    <w:p w14:paraId="1276F503" w14:textId="4AD9C616" w:rsidR="00CB66F6" w:rsidRPr="003F6B80" w:rsidRDefault="00CB66F6" w:rsidP="00CB66F6">
      <w:pPr>
        <w:pStyle w:val="Default"/>
        <w:spacing w:line="240" w:lineRule="auto"/>
        <w:rPr>
          <w:rFonts w:ascii="Palatino Linotype" w:hAnsi="Palatino Linotype"/>
          <w:color w:val="auto"/>
          <w:sz w:val="20"/>
          <w:szCs w:val="20"/>
        </w:rPr>
      </w:pPr>
      <w:r w:rsidRPr="003F6B80">
        <w:rPr>
          <w:rFonts w:ascii="Palatino Linotype" w:hAnsi="Palatino Linotype"/>
          <w:color w:val="auto"/>
          <w:sz w:val="20"/>
          <w:szCs w:val="20"/>
        </w:rPr>
        <w:t>A garanzia delle obbligazioni assunte con la stipula della presente Convenzione</w:t>
      </w:r>
      <w:r w:rsidR="00B25233" w:rsidRPr="003F6B80">
        <w:rPr>
          <w:rFonts w:ascii="Palatino Linotype" w:hAnsi="Palatino Linotype"/>
          <w:color w:val="auto"/>
          <w:sz w:val="20"/>
          <w:szCs w:val="20"/>
        </w:rPr>
        <w:t xml:space="preserve"> l’Aggiudicatario, in fase di sottoscrizione dei singoli contratti </w:t>
      </w:r>
      <w:r w:rsidRPr="003F6B80">
        <w:rPr>
          <w:rFonts w:ascii="Palatino Linotype" w:hAnsi="Palatino Linotype"/>
          <w:color w:val="auto"/>
          <w:sz w:val="20"/>
          <w:szCs w:val="20"/>
        </w:rPr>
        <w:t>prest</w:t>
      </w:r>
      <w:r w:rsidR="00B25233" w:rsidRPr="003F6B80">
        <w:rPr>
          <w:rFonts w:ascii="Palatino Linotype" w:hAnsi="Palatino Linotype"/>
          <w:color w:val="auto"/>
          <w:sz w:val="20"/>
          <w:szCs w:val="20"/>
        </w:rPr>
        <w:t>erà idonea</w:t>
      </w:r>
      <w:r w:rsidRPr="003F6B80">
        <w:rPr>
          <w:rFonts w:ascii="Palatino Linotype" w:hAnsi="Palatino Linotype"/>
          <w:color w:val="auto"/>
          <w:sz w:val="20"/>
          <w:szCs w:val="20"/>
        </w:rPr>
        <w:t xml:space="preserve"> garanzia definitiva rilasciata.</w:t>
      </w:r>
    </w:p>
    <w:p w14:paraId="78A22A69" w14:textId="1F9120DF" w:rsidR="00CB66F6" w:rsidRPr="003F6B80"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 xml:space="preserve">La garanzia opera per tutta la durata della Convenzione e dei </w:t>
      </w:r>
      <w:r w:rsidR="003F6B80" w:rsidRPr="003F6B80">
        <w:rPr>
          <w:rFonts w:ascii="Palatino Linotype" w:hAnsi="Palatino Linotype"/>
          <w:sz w:val="20"/>
          <w:szCs w:val="20"/>
        </w:rPr>
        <w:t xml:space="preserve">singoli </w:t>
      </w:r>
      <w:r w:rsidRPr="003F6B80">
        <w:rPr>
          <w:rFonts w:ascii="Palatino Linotype" w:hAnsi="Palatino Linotype"/>
          <w:sz w:val="20"/>
          <w:szCs w:val="20"/>
        </w:rPr>
        <w:t xml:space="preserve">contratti di </w:t>
      </w:r>
      <w:r w:rsidR="00B25233" w:rsidRPr="003F6B80">
        <w:rPr>
          <w:rFonts w:ascii="Palatino Linotype" w:hAnsi="Palatino Linotype"/>
          <w:sz w:val="20"/>
          <w:szCs w:val="20"/>
        </w:rPr>
        <w:t>servizio</w:t>
      </w:r>
      <w:r w:rsidRPr="003F6B80">
        <w:rPr>
          <w:rFonts w:ascii="Palatino Linotype" w:hAnsi="Palatino Linotype"/>
          <w:sz w:val="20"/>
          <w:szCs w:val="20"/>
        </w:rPr>
        <w:t xml:space="preserve">, anche eventualmente prorogati, e sino alla completa ed esatta esecuzione delle obbligazioni nascenti dalla Convenzione e dai contratti di </w:t>
      </w:r>
      <w:r w:rsidR="00B25233" w:rsidRPr="003F6B80">
        <w:rPr>
          <w:rFonts w:ascii="Palatino Linotype" w:hAnsi="Palatino Linotype"/>
          <w:sz w:val="20"/>
          <w:szCs w:val="20"/>
        </w:rPr>
        <w:t>servizio</w:t>
      </w:r>
      <w:r w:rsidRPr="003F6B80">
        <w:rPr>
          <w:rFonts w:ascii="Palatino Linotype" w:hAnsi="Palatino Linotype"/>
          <w:sz w:val="20"/>
          <w:szCs w:val="20"/>
        </w:rPr>
        <w:t xml:space="preserve"> e viene svincolata - previa deduzione di eventuali crediti delle Stazioni Appaltanti verso l’Aggiudicatario - a seguito dell’esatta esecuzione delle obbligazioni contrattuali. </w:t>
      </w:r>
    </w:p>
    <w:p w14:paraId="0041F270" w14:textId="77777777" w:rsidR="00CB66F6" w:rsidRPr="003F6B80"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La garanzia è progressivamente svincolata ai sensi di legge.</w:t>
      </w:r>
    </w:p>
    <w:p w14:paraId="7CFE6290" w14:textId="77777777" w:rsidR="00CB66F6" w:rsidRPr="00512ED3" w:rsidRDefault="00CB66F6" w:rsidP="00CB66F6">
      <w:pPr>
        <w:pStyle w:val="Default"/>
        <w:spacing w:line="240" w:lineRule="auto"/>
        <w:rPr>
          <w:rFonts w:ascii="Palatino Linotype" w:hAnsi="Palatino Linotype"/>
          <w:sz w:val="20"/>
          <w:szCs w:val="20"/>
        </w:rPr>
      </w:pPr>
      <w:r w:rsidRPr="003F6B80">
        <w:rPr>
          <w:rFonts w:ascii="Palatino Linotype" w:hAnsi="Palatino Linotype"/>
          <w:sz w:val="20"/>
          <w:szCs w:val="20"/>
        </w:rPr>
        <w:t>Le singole Stazioni Appaltanti redigono il documento attestante la regolare esecuzione delle prestazioni contrattuali.</w:t>
      </w:r>
      <w:r w:rsidRPr="00512ED3">
        <w:rPr>
          <w:rFonts w:ascii="Palatino Linotype" w:hAnsi="Palatino Linotype"/>
          <w:sz w:val="20"/>
          <w:szCs w:val="20"/>
        </w:rPr>
        <w:t xml:space="preserve"> </w:t>
      </w:r>
    </w:p>
    <w:p w14:paraId="46183124" w14:textId="77777777" w:rsidR="00CB66F6" w:rsidRPr="00512ED3" w:rsidRDefault="00CB66F6" w:rsidP="00CB66F6">
      <w:pPr>
        <w:pStyle w:val="Default"/>
        <w:spacing w:line="240" w:lineRule="auto"/>
        <w:rPr>
          <w:rFonts w:ascii="Palatino Linotype" w:hAnsi="Palatino Linotype"/>
          <w:sz w:val="20"/>
          <w:szCs w:val="20"/>
        </w:rPr>
      </w:pPr>
    </w:p>
    <w:p w14:paraId="2921F97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2" w:name="_Toc499191475"/>
      <w:r w:rsidRPr="00512ED3">
        <w:rPr>
          <w:i w:val="0"/>
          <w:szCs w:val="20"/>
        </w:rPr>
        <w:t>Risoluzione e Recesso</w:t>
      </w:r>
      <w:bookmarkEnd w:id="12"/>
      <w:r w:rsidRPr="00512ED3">
        <w:rPr>
          <w:i w:val="0"/>
          <w:szCs w:val="20"/>
        </w:rPr>
        <w:t xml:space="preserve"> </w:t>
      </w:r>
    </w:p>
    <w:p w14:paraId="176CE7DC" w14:textId="42AFD7BA" w:rsidR="00CB66F6" w:rsidRPr="00512ED3" w:rsidRDefault="00CB66F6" w:rsidP="00CB66F6">
      <w:pPr>
        <w:pStyle w:val="Default"/>
        <w:spacing w:line="240" w:lineRule="auto"/>
        <w:rPr>
          <w:rFonts w:ascii="Palatino Linotype" w:hAnsi="Palatino Linotype"/>
          <w:color w:val="auto"/>
          <w:sz w:val="20"/>
          <w:szCs w:val="20"/>
        </w:rPr>
      </w:pPr>
      <w:r w:rsidRPr="00512ED3">
        <w:rPr>
          <w:rFonts w:ascii="Palatino Linotype" w:hAnsi="Palatino Linotype"/>
          <w:sz w:val="20"/>
          <w:szCs w:val="20"/>
        </w:rPr>
        <w:t xml:space="preserve">Per la disciplina della risoluzione (della Convenzione e dei contratti di </w:t>
      </w:r>
      <w:r w:rsidR="00DA7799">
        <w:rPr>
          <w:rFonts w:ascii="Palatino Linotype" w:hAnsi="Palatino Linotype"/>
          <w:sz w:val="20"/>
          <w:szCs w:val="20"/>
        </w:rPr>
        <w:t>servizio</w:t>
      </w:r>
      <w:r w:rsidRPr="00512ED3">
        <w:rPr>
          <w:rFonts w:ascii="Palatino Linotype" w:hAnsi="Palatino Linotype"/>
          <w:sz w:val="20"/>
          <w:szCs w:val="20"/>
        </w:rPr>
        <w:t>) si rinvia all’art. 108 del Codice, oltre che alle disposizioni del</w:t>
      </w:r>
      <w:r w:rsidRPr="00512ED3">
        <w:rPr>
          <w:rFonts w:ascii="Palatino Linotype" w:hAnsi="Palatino Linotype"/>
          <w:color w:val="auto"/>
          <w:sz w:val="20"/>
          <w:szCs w:val="20"/>
        </w:rPr>
        <w:t xml:space="preserve"> capitolato tecnico, descrittivo e prestazionale, nonché al contratto che ciascuna Stazione appaltante stipulerà con l’Aggiudicatario.</w:t>
      </w:r>
    </w:p>
    <w:p w14:paraId="4807A648" w14:textId="77777777" w:rsidR="00CB66F6" w:rsidRPr="00512ED3" w:rsidRDefault="00CB66F6" w:rsidP="00CB66F6">
      <w:pPr>
        <w:pStyle w:val="Default"/>
        <w:spacing w:line="240" w:lineRule="auto"/>
        <w:rPr>
          <w:rFonts w:ascii="Palatino Linotype" w:hAnsi="Palatino Linotype"/>
          <w:color w:val="auto"/>
          <w:sz w:val="20"/>
          <w:szCs w:val="20"/>
        </w:rPr>
      </w:pPr>
    </w:p>
    <w:p w14:paraId="6882FD4F"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3" w:name="_Toc499191476"/>
      <w:r w:rsidRPr="00512ED3">
        <w:rPr>
          <w:i w:val="0"/>
          <w:szCs w:val="20"/>
        </w:rPr>
        <w:t>Subappalto</w:t>
      </w:r>
      <w:bookmarkEnd w:id="13"/>
      <w:r w:rsidRPr="00512ED3">
        <w:rPr>
          <w:i w:val="0"/>
          <w:szCs w:val="20"/>
        </w:rPr>
        <w:t xml:space="preserve"> </w:t>
      </w:r>
    </w:p>
    <w:p w14:paraId="043CA1C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 xml:space="preserve">[da inserire se l’Aggiudicatario non ha dichiarato di voler far ricorso al subappalto]  </w:t>
      </w:r>
    </w:p>
    <w:p w14:paraId="2517469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Non essendo stato richiesto in sede di offerta, è fatto divieto all’Aggiudicatario di subappaltare le prestazioni oggetto della presente Convenzione.  </w:t>
      </w:r>
    </w:p>
    <w:p w14:paraId="08FB7C3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i/>
          <w:iCs/>
          <w:sz w:val="20"/>
          <w:szCs w:val="20"/>
        </w:rPr>
        <w:t xml:space="preserve">[da inserire se l’Aggiudicatario ha dichiarato di voler far ricorso al subappalto]  </w:t>
      </w:r>
    </w:p>
    <w:p w14:paraId="32D8819A" w14:textId="7F791925"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affida in subappalto, in misura non superiore al </w:t>
      </w:r>
      <w:r w:rsidR="00B21747">
        <w:rPr>
          <w:rFonts w:ascii="Palatino Linotype" w:hAnsi="Palatino Linotype"/>
          <w:sz w:val="20"/>
          <w:szCs w:val="20"/>
        </w:rPr>
        <w:t>_____</w:t>
      </w:r>
      <w:r w:rsidRPr="00512ED3">
        <w:rPr>
          <w:rFonts w:ascii="Palatino Linotype" w:hAnsi="Palatino Linotype"/>
          <w:sz w:val="20"/>
          <w:szCs w:val="20"/>
        </w:rPr>
        <w:t xml:space="preserve">% dell’importo contrattuale, l’esecuzione delle prestazioni contrattuali </w:t>
      </w:r>
      <w:r w:rsidRPr="00512ED3">
        <w:rPr>
          <w:rFonts w:ascii="Palatino Linotype" w:hAnsi="Palatino Linotype"/>
          <w:i/>
          <w:iCs/>
          <w:sz w:val="20"/>
          <w:szCs w:val="20"/>
        </w:rPr>
        <w:t xml:space="preserve">[seguono specificazioni] </w:t>
      </w:r>
      <w:r w:rsidRPr="00512ED3">
        <w:rPr>
          <w:rFonts w:ascii="Palatino Linotype" w:hAnsi="Palatino Linotype"/>
          <w:sz w:val="20"/>
          <w:szCs w:val="20"/>
        </w:rPr>
        <w:t>__________</w:t>
      </w:r>
      <w:r>
        <w:rPr>
          <w:rFonts w:ascii="Palatino Linotype" w:hAnsi="Palatino Linotype"/>
          <w:sz w:val="20"/>
          <w:szCs w:val="20"/>
        </w:rPr>
        <w:t>____</w:t>
      </w:r>
      <w:r w:rsidRPr="00512ED3">
        <w:rPr>
          <w:rFonts w:ascii="Palatino Linotype" w:hAnsi="Palatino Linotype"/>
          <w:i/>
          <w:iCs/>
          <w:sz w:val="20"/>
          <w:szCs w:val="20"/>
        </w:rPr>
        <w:t>___________________________________</w:t>
      </w:r>
      <w:r w:rsidRPr="00512ED3">
        <w:rPr>
          <w:rFonts w:ascii="Palatino Linotype" w:hAnsi="Palatino Linotype"/>
          <w:sz w:val="20"/>
          <w:szCs w:val="20"/>
        </w:rPr>
        <w:t>_________________________________________________________________________________________________________________________________________________________________________________</w:t>
      </w:r>
      <w:r>
        <w:rPr>
          <w:rFonts w:ascii="Palatino Linotype" w:hAnsi="Palatino Linotype"/>
          <w:sz w:val="20"/>
          <w:szCs w:val="20"/>
        </w:rPr>
        <w:t>________________________________________________________</w:t>
      </w:r>
      <w:r w:rsidRPr="00512ED3">
        <w:rPr>
          <w:rFonts w:ascii="Palatino Linotype" w:hAnsi="Palatino Linotype"/>
          <w:sz w:val="20"/>
          <w:szCs w:val="20"/>
        </w:rPr>
        <w:t>______</w:t>
      </w:r>
    </w:p>
    <w:p w14:paraId="36F0B8F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Con la stipula della presente Convenzione, l’Aggiudicatario dichiara di aver rispettato le condizioni previste dal Disciplinare di gara e dalla normativa vigente per l’affidamento in subappalto e di impegnarsi a rispettare tutti gli obblighi connessi all’affidamento in subappalto delle prestazioni sopra indicate, così come previsti dal Disciplinare e dalla normativa vigente.</w:t>
      </w:r>
    </w:p>
    <w:p w14:paraId="4BF43178" w14:textId="77777777" w:rsidR="00CB66F6" w:rsidRPr="00512ED3" w:rsidRDefault="00CB66F6" w:rsidP="00CB66F6">
      <w:pPr>
        <w:pStyle w:val="Default"/>
        <w:spacing w:line="240" w:lineRule="auto"/>
        <w:rPr>
          <w:rFonts w:ascii="Palatino Linotype" w:hAnsi="Palatino Linotype"/>
          <w:sz w:val="20"/>
          <w:szCs w:val="20"/>
        </w:rPr>
      </w:pPr>
    </w:p>
    <w:p w14:paraId="721AB7B6"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4" w:name="_Toc499191477"/>
      <w:r w:rsidRPr="00512ED3">
        <w:rPr>
          <w:i w:val="0"/>
          <w:szCs w:val="20"/>
        </w:rPr>
        <w:t>Divieto di cessione del contratto. Ammissibilità della cessione dei crediti</w:t>
      </w:r>
      <w:bookmarkEnd w:id="14"/>
      <w:r w:rsidRPr="00512ED3">
        <w:rPr>
          <w:i w:val="0"/>
          <w:szCs w:val="20"/>
        </w:rPr>
        <w:t xml:space="preserve"> </w:t>
      </w:r>
    </w:p>
    <w:p w14:paraId="0606A94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Ai sensi dell’art. 105, comma 1 del Codice, la Convenzione e i contratti attuativi non possono essere ceduti a pena di nullità. </w:t>
      </w:r>
    </w:p>
    <w:p w14:paraId="4898822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È ammessa la cessione dei crediti maturati dall’Aggiudicatario nei confronti delle Stazioni Appaltanti nel rispetto dell’art. 105 comma 13 del Codice e della L. n. 52/1991 e fermo restando il rispetto degli obblighi in materia di tracciabilità.  </w:t>
      </w:r>
    </w:p>
    <w:p w14:paraId="1DC4D919" w14:textId="59E4F413"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Stazioni Appaltanti contraenti nell’ordinativo di fornitura riconoscono all’Aggiudicatario la facoltà di cedere, in tutto o in parte, i crediti derivanti dalla regolare esecuzione del proprio contratto di</w:t>
      </w:r>
      <w:r w:rsidR="003F6B80">
        <w:rPr>
          <w:rFonts w:ascii="Palatino Linotype" w:hAnsi="Palatino Linotype"/>
          <w:sz w:val="20"/>
          <w:szCs w:val="20"/>
        </w:rPr>
        <w:t xml:space="preserve"> servizi</w:t>
      </w:r>
      <w:r w:rsidRPr="00512ED3">
        <w:rPr>
          <w:rFonts w:ascii="Palatino Linotype" w:hAnsi="Palatino Linotype"/>
          <w:sz w:val="20"/>
          <w:szCs w:val="20"/>
        </w:rPr>
        <w:t xml:space="preserve">. </w:t>
      </w:r>
    </w:p>
    <w:p w14:paraId="23C954E6"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Le cessioni dei crediti devono essere stipulate mediante atto pubblico o scrittura privata autenticata e devono essere notificate alla Stazione Appaltante.</w:t>
      </w:r>
    </w:p>
    <w:p w14:paraId="7DCAB399"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E’ fatta salva e impregiudicata la possibilità per la Stazione Appaltante di opporre al cessionario tutte le medesime eccezioni opponibili all’Aggiudicatario cedente, ivi inclusa, a titolo esemplificativo e non esaustivo, l’eventuale compensazione dei crediti derivanti dall’applicazione delle penali con quanto dovuto all’Aggiudicatario stesso anche in relazione ad ordinativi di fornitura diversi. </w:t>
      </w:r>
    </w:p>
    <w:p w14:paraId="6458EFB0" w14:textId="77777777" w:rsidR="00CB66F6" w:rsidRPr="00512ED3" w:rsidRDefault="00CB66F6" w:rsidP="00CB66F6">
      <w:pPr>
        <w:pStyle w:val="Default"/>
        <w:spacing w:line="240" w:lineRule="auto"/>
        <w:rPr>
          <w:rFonts w:ascii="Palatino Linotype" w:hAnsi="Palatino Linotype"/>
          <w:sz w:val="20"/>
          <w:szCs w:val="20"/>
        </w:rPr>
      </w:pPr>
    </w:p>
    <w:p w14:paraId="42F01D90"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5" w:name="_Toc499191478"/>
      <w:r w:rsidRPr="00512ED3">
        <w:rPr>
          <w:i w:val="0"/>
          <w:szCs w:val="20"/>
        </w:rPr>
        <w:lastRenderedPageBreak/>
        <w:t>Scambio di informazioni e recapiti</w:t>
      </w:r>
      <w:bookmarkEnd w:id="15"/>
      <w:r w:rsidRPr="00512ED3">
        <w:rPr>
          <w:i w:val="0"/>
          <w:szCs w:val="20"/>
        </w:rPr>
        <w:t xml:space="preserve">  </w:t>
      </w:r>
    </w:p>
    <w:p w14:paraId="10AAE300"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Fermo restando l’obbligo dell’Aggiudicatario di trasmettere sempre per conoscenza all’Amministrazione ogni comunicazione inviata (direttamente o indirettamente, attraverso altri soggetti, come ad esempio una società di recupero crediti) alle Stazioni Appaltanti, fatte salve le ipotesi in cui le modalità di trasmissione delle comunicazioni sono già definite negli atti di gara o dalla legge, le Parti si scambieranno le comunicazioni inerenti l’esecuzione della presente Convenzione e i contratti di fornitura via posta elettronica ai seguenti indirizzi:  </w:t>
      </w:r>
    </w:p>
    <w:p w14:paraId="06D327A2" w14:textId="77777777" w:rsidR="00CB66F6" w:rsidRPr="00512ED3" w:rsidRDefault="00CB66F6" w:rsidP="00CB66F6">
      <w:pPr>
        <w:pStyle w:val="Default"/>
        <w:spacing w:line="240" w:lineRule="auto"/>
        <w:rPr>
          <w:rFonts w:ascii="Palatino Linotype" w:hAnsi="Palatino Linotype"/>
          <w:i/>
          <w:sz w:val="20"/>
          <w:szCs w:val="20"/>
        </w:rPr>
      </w:pPr>
      <w:r w:rsidRPr="00512ED3">
        <w:rPr>
          <w:rFonts w:ascii="Palatino Linotype" w:hAnsi="Palatino Linotype"/>
          <w:bCs/>
          <w:i/>
          <w:sz w:val="20"/>
          <w:szCs w:val="20"/>
        </w:rPr>
        <w:t>Amministrazione</w:t>
      </w:r>
    </w:p>
    <w:p w14:paraId="6DA420E7" w14:textId="6A6861A2"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PEC </w:t>
      </w:r>
      <w:r w:rsidR="00307C40">
        <w:rPr>
          <w:rFonts w:ascii="Palatino Linotype" w:hAnsi="Palatino Linotype"/>
          <w:sz w:val="20"/>
          <w:szCs w:val="20"/>
        </w:rPr>
        <w:t>dell’azienda sanitaria ordinante</w:t>
      </w:r>
    </w:p>
    <w:p w14:paraId="4C8F40D1" w14:textId="77777777" w:rsidR="00CB66F6" w:rsidRPr="00512ED3" w:rsidRDefault="00CB66F6" w:rsidP="00CB66F6">
      <w:pPr>
        <w:pStyle w:val="Default"/>
        <w:spacing w:line="240" w:lineRule="auto"/>
        <w:rPr>
          <w:rFonts w:ascii="Palatino Linotype" w:hAnsi="Palatino Linotype"/>
          <w:bCs/>
          <w:i/>
          <w:sz w:val="20"/>
          <w:szCs w:val="20"/>
        </w:rPr>
      </w:pPr>
      <w:r w:rsidRPr="00512ED3">
        <w:rPr>
          <w:rFonts w:ascii="Palatino Linotype" w:hAnsi="Palatino Linotype"/>
          <w:bCs/>
          <w:i/>
          <w:sz w:val="20"/>
          <w:szCs w:val="20"/>
        </w:rPr>
        <w:t>Aggiudicatario</w:t>
      </w:r>
    </w:p>
    <w:p w14:paraId="2EB6785B"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bCs/>
          <w:sz w:val="20"/>
          <w:szCs w:val="20"/>
        </w:rPr>
        <w:t>PEC ________________________________________</w:t>
      </w:r>
      <w:r w:rsidRPr="00512ED3">
        <w:rPr>
          <w:rFonts w:ascii="Palatino Linotype" w:hAnsi="Palatino Linotype"/>
          <w:sz w:val="20"/>
          <w:szCs w:val="20"/>
        </w:rPr>
        <w:t xml:space="preserve"> </w:t>
      </w:r>
    </w:p>
    <w:p w14:paraId="2933FA26" w14:textId="77777777" w:rsidR="00CB66F6" w:rsidRPr="00512ED3" w:rsidRDefault="00CB66F6" w:rsidP="00CB66F6">
      <w:pPr>
        <w:pStyle w:val="Default"/>
        <w:spacing w:line="240" w:lineRule="auto"/>
        <w:rPr>
          <w:rFonts w:ascii="Palatino Linotype" w:hAnsi="Palatino Linotype"/>
          <w:sz w:val="20"/>
          <w:szCs w:val="20"/>
        </w:rPr>
      </w:pPr>
    </w:p>
    <w:p w14:paraId="4A105B65"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6" w:name="_Toc499191479"/>
      <w:r w:rsidRPr="00512ED3">
        <w:rPr>
          <w:i w:val="0"/>
          <w:szCs w:val="20"/>
        </w:rPr>
        <w:t>Oneri fiscali e spese contrattuali</w:t>
      </w:r>
      <w:bookmarkEnd w:id="16"/>
      <w:r w:rsidRPr="00512ED3">
        <w:rPr>
          <w:i w:val="0"/>
          <w:szCs w:val="20"/>
        </w:rPr>
        <w:t xml:space="preserve">  </w:t>
      </w:r>
    </w:p>
    <w:p w14:paraId="708F187E"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Sono a carico dell’Aggiudicatario tutti gli oneri tributari e le spese contrattuali (ivi comprese quelle previste dalla normativa vigente relative all’imposta di bollo) relativi alla Convenzione e ai contratti di fornitura, ad eccezione di quelli che fanno carico alle Stazioni Appaltanti per legge. </w:t>
      </w:r>
    </w:p>
    <w:p w14:paraId="3CAB7BB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L’Aggiudicatario dichiara che le prestazioni di cui trattasi sono effettuate nell’esercizio di impresa e che trattasi di operazioni soggette all’Imposta sul Valore Aggiunto, conseguentemente, alla Convenzione è applicata l’imposta di registro in misura fissa, con ogni relativo onere a carico dell’Aggiudicatario. </w:t>
      </w:r>
    </w:p>
    <w:p w14:paraId="19B591D1"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Le Parti stabiliscono che l’Aggiudicatario provveda a registrare la presente Convenzione immediatamente dopo la stipula. </w:t>
      </w:r>
    </w:p>
    <w:p w14:paraId="65A7C834" w14:textId="77777777" w:rsidR="00CB66F6" w:rsidRPr="00512ED3" w:rsidRDefault="00CB66F6" w:rsidP="00CB66F6">
      <w:pPr>
        <w:pStyle w:val="Default"/>
        <w:spacing w:line="240" w:lineRule="auto"/>
        <w:rPr>
          <w:rFonts w:ascii="Palatino Linotype" w:hAnsi="Palatino Linotype"/>
          <w:sz w:val="20"/>
          <w:szCs w:val="20"/>
        </w:rPr>
      </w:pPr>
    </w:p>
    <w:p w14:paraId="70B86574"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7" w:name="_Toc499191480"/>
      <w:r w:rsidRPr="00512ED3">
        <w:rPr>
          <w:i w:val="0"/>
          <w:szCs w:val="20"/>
        </w:rPr>
        <w:t>Foro competente</w:t>
      </w:r>
      <w:bookmarkEnd w:id="17"/>
      <w:r w:rsidRPr="00512ED3">
        <w:rPr>
          <w:i w:val="0"/>
          <w:szCs w:val="20"/>
        </w:rPr>
        <w:t xml:space="preserve"> </w:t>
      </w:r>
    </w:p>
    <w:p w14:paraId="6D1908ED" w14:textId="06CC726A"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Per le controversie relative ai rapporti tra l’Aggiudicatario e l</w:t>
      </w:r>
      <w:r w:rsidR="003F6B80">
        <w:rPr>
          <w:rFonts w:ascii="Palatino Linotype" w:hAnsi="Palatino Linotype"/>
          <w:sz w:val="20"/>
          <w:szCs w:val="20"/>
        </w:rPr>
        <w:t>’</w:t>
      </w:r>
      <w:r w:rsidRPr="00512ED3">
        <w:rPr>
          <w:rFonts w:ascii="Palatino Linotype" w:hAnsi="Palatino Linotype"/>
          <w:sz w:val="20"/>
          <w:szCs w:val="20"/>
        </w:rPr>
        <w:t xml:space="preserve">Amministrazione è competente in via esclusiva il Foro di Potenza.  </w:t>
      </w:r>
    </w:p>
    <w:p w14:paraId="74785A9D" w14:textId="6DC72AD2" w:rsidR="00CB66F6"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Per le controversie relative ai rapporti tra l’Aggiudicatario e le Stazioni Appaltanti contraenti, è competente in via esclusiva il Foro di </w:t>
      </w:r>
      <w:r w:rsidR="003F6B80">
        <w:rPr>
          <w:rFonts w:ascii="Palatino Linotype" w:hAnsi="Palatino Linotype"/>
          <w:sz w:val="20"/>
          <w:szCs w:val="20"/>
        </w:rPr>
        <w:t>competenza territoriale relativo</w:t>
      </w:r>
      <w:r w:rsidR="00BB618E">
        <w:rPr>
          <w:rFonts w:ascii="Palatino Linotype" w:hAnsi="Palatino Linotype"/>
          <w:sz w:val="20"/>
          <w:szCs w:val="20"/>
        </w:rPr>
        <w:t xml:space="preserve"> alla Stazione Appaltante ordinante.</w:t>
      </w:r>
      <w:r w:rsidRPr="00512ED3">
        <w:rPr>
          <w:rFonts w:ascii="Palatino Linotype" w:hAnsi="Palatino Linotype"/>
          <w:sz w:val="20"/>
          <w:szCs w:val="20"/>
        </w:rPr>
        <w:t xml:space="preserve"> </w:t>
      </w:r>
    </w:p>
    <w:p w14:paraId="38A52C5B" w14:textId="77777777" w:rsidR="00685031" w:rsidRPr="00512ED3" w:rsidRDefault="00685031" w:rsidP="00CB66F6">
      <w:pPr>
        <w:pStyle w:val="Default"/>
        <w:spacing w:line="240" w:lineRule="auto"/>
        <w:rPr>
          <w:rFonts w:ascii="Palatino Linotype" w:hAnsi="Palatino Linotype"/>
          <w:sz w:val="20"/>
          <w:szCs w:val="20"/>
        </w:rPr>
      </w:pPr>
    </w:p>
    <w:p w14:paraId="4839363D"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8" w:name="_Toc499191481"/>
      <w:r w:rsidRPr="00512ED3">
        <w:rPr>
          <w:i w:val="0"/>
          <w:szCs w:val="20"/>
        </w:rPr>
        <w:t>Trattamento dei dati personali e Riservatezza</w:t>
      </w:r>
      <w:bookmarkEnd w:id="18"/>
      <w:r w:rsidRPr="00512ED3">
        <w:rPr>
          <w:i w:val="0"/>
          <w:szCs w:val="20"/>
        </w:rPr>
        <w:t xml:space="preserve"> </w:t>
      </w:r>
    </w:p>
    <w:p w14:paraId="55E2B0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Con la stipula della presente Convenzione l’Aggiudicatario dichiara di avere preso visione delle informazioni indicate nel Disciplinare di gara circa il trattamento dei dati personali. </w:t>
      </w:r>
    </w:p>
    <w:p w14:paraId="7489DB0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L’Amministrazione si impegna a improntare il trattamento dei dati ai principi di correttezza, liceità e trasparenza nel pieno rispetto del </w:t>
      </w:r>
      <w:proofErr w:type="spellStart"/>
      <w:r w:rsidRPr="00512ED3">
        <w:rPr>
          <w:rFonts w:ascii="Palatino Linotype" w:hAnsi="Palatino Linotype"/>
          <w:sz w:val="20"/>
          <w:szCs w:val="20"/>
        </w:rPr>
        <w:t>D.Lgs.</w:t>
      </w:r>
      <w:proofErr w:type="spellEnd"/>
      <w:r w:rsidRPr="00512ED3">
        <w:rPr>
          <w:rFonts w:ascii="Palatino Linotype" w:hAnsi="Palatino Linotype"/>
          <w:sz w:val="20"/>
          <w:szCs w:val="20"/>
        </w:rPr>
        <w:t xml:space="preserve"> 196/2003, con particolare attenzione a quanto prescritto riguardo alle misure minime di sicurezza da adottare. 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 </w:t>
      </w:r>
    </w:p>
    <w:p w14:paraId="67A3E392"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Si rinvia alle previsioni del Disciplinare di gara. </w:t>
      </w:r>
    </w:p>
    <w:p w14:paraId="155E3E05"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Il Titolare del trattamento dei dati personali è il Dipartimento Stazione Unica Appaltante della Regione Basilicata, con sede in Potenza, via Vincenzo Verrastro n. 4, PEC </w:t>
      </w:r>
      <w:hyperlink r:id="rId8" w:history="1">
        <w:r w:rsidRPr="00512ED3">
          <w:rPr>
            <w:rStyle w:val="Collegamentoipertestuale"/>
            <w:rFonts w:ascii="Palatino Linotype" w:hAnsi="Palatino Linotype"/>
            <w:sz w:val="20"/>
            <w:szCs w:val="20"/>
          </w:rPr>
          <w:t>ufficio.centrale.committenza.soggetto.aggregatore@cert.regione.basilicata.it</w:t>
        </w:r>
      </w:hyperlink>
      <w:r w:rsidRPr="00512ED3">
        <w:rPr>
          <w:rFonts w:ascii="Palatino Linotype" w:hAnsi="Palatino Linotype"/>
          <w:sz w:val="20"/>
          <w:szCs w:val="20"/>
        </w:rPr>
        <w:t>.</w:t>
      </w:r>
    </w:p>
    <w:p w14:paraId="5B7E0175" w14:textId="77777777" w:rsidR="00CB66F6" w:rsidRPr="00512ED3" w:rsidRDefault="00CB66F6" w:rsidP="00CB66F6">
      <w:pPr>
        <w:pStyle w:val="Default"/>
        <w:spacing w:line="240" w:lineRule="auto"/>
        <w:rPr>
          <w:rFonts w:ascii="Palatino Linotype" w:hAnsi="Palatino Linotype"/>
          <w:sz w:val="20"/>
          <w:szCs w:val="20"/>
        </w:rPr>
      </w:pPr>
    </w:p>
    <w:p w14:paraId="0C0AD5D3" w14:textId="77777777" w:rsidR="00CB66F6" w:rsidRPr="00512ED3" w:rsidRDefault="00CB66F6" w:rsidP="00CB66F6">
      <w:pPr>
        <w:pStyle w:val="Titolo2"/>
        <w:numPr>
          <w:ilvl w:val="0"/>
          <w:numId w:val="9"/>
        </w:numPr>
        <w:spacing w:before="0" w:after="0" w:line="240" w:lineRule="auto"/>
        <w:ind w:left="426" w:hanging="426"/>
        <w:rPr>
          <w:i w:val="0"/>
          <w:szCs w:val="20"/>
        </w:rPr>
      </w:pPr>
      <w:bookmarkStart w:id="19" w:name="_Toc499191482"/>
      <w:r w:rsidRPr="00512ED3">
        <w:rPr>
          <w:i w:val="0"/>
          <w:szCs w:val="20"/>
        </w:rPr>
        <w:t>Norme di rinvio</w:t>
      </w:r>
      <w:bookmarkEnd w:id="19"/>
    </w:p>
    <w:p w14:paraId="16B9BDD8" w14:textId="77777777" w:rsidR="00CB66F6" w:rsidRPr="00512ED3" w:rsidRDefault="00CB66F6" w:rsidP="00CB66F6">
      <w:pPr>
        <w:jc w:val="both"/>
        <w:rPr>
          <w:rFonts w:ascii="Palatino Linotype" w:hAnsi="Palatino Linotype"/>
          <w:sz w:val="20"/>
          <w:szCs w:val="20"/>
          <w:lang w:eastAsia="en-US"/>
        </w:rPr>
      </w:pPr>
      <w:r w:rsidRPr="00512ED3">
        <w:rPr>
          <w:rFonts w:ascii="Palatino Linotype" w:hAnsi="Palatino Linotype"/>
          <w:sz w:val="20"/>
          <w:szCs w:val="20"/>
          <w:lang w:eastAsia="en-US"/>
        </w:rPr>
        <w:t>Per quanto non espressamente previsto dalla presente Convenzione, si rinvia alla normativa vigente in materia, oltre che alla DGR n. 1153 del 11/9/2015 “</w:t>
      </w:r>
      <w:r w:rsidRPr="00512ED3">
        <w:rPr>
          <w:rFonts w:ascii="Palatino Linotype" w:hAnsi="Palatino Linotype"/>
          <w:i/>
          <w:sz w:val="20"/>
          <w:szCs w:val="20"/>
          <w:lang w:eastAsia="en-US"/>
        </w:rPr>
        <w:t xml:space="preserve">Adempimenti ex art. 10 L.R. 26/2014 ss.mm. ii. -Adozione schema di Convenzione tra la Regione Basilicata SUA-RB e gli enti del servizio sanitario regionale per la disciplina delle attività </w:t>
      </w:r>
      <w:r w:rsidRPr="00512ED3">
        <w:rPr>
          <w:rFonts w:ascii="Palatino Linotype" w:hAnsi="Palatino Linotype"/>
          <w:i/>
          <w:sz w:val="20"/>
          <w:szCs w:val="20"/>
          <w:lang w:eastAsia="en-US"/>
        </w:rPr>
        <w:lastRenderedPageBreak/>
        <w:t xml:space="preserve">inerenti alla Stazione Unica Appaltante-SUA e Centrale di Committenza </w:t>
      </w:r>
      <w:proofErr w:type="spellStart"/>
      <w:r w:rsidRPr="00512ED3">
        <w:rPr>
          <w:rFonts w:ascii="Palatino Linotype" w:hAnsi="Palatino Linotype"/>
          <w:i/>
          <w:sz w:val="20"/>
          <w:szCs w:val="20"/>
          <w:lang w:eastAsia="en-US"/>
        </w:rPr>
        <w:t>CdC</w:t>
      </w:r>
      <w:proofErr w:type="spellEnd"/>
      <w:r w:rsidRPr="00512ED3">
        <w:rPr>
          <w:rFonts w:ascii="Palatino Linotype" w:hAnsi="Palatino Linotype"/>
          <w:i/>
          <w:sz w:val="20"/>
          <w:szCs w:val="20"/>
          <w:lang w:eastAsia="en-US"/>
        </w:rPr>
        <w:t xml:space="preserve"> ex 2° co. Dell’art. 32 LR 18/2013 ss.mm. e ii.</w:t>
      </w:r>
      <w:r w:rsidRPr="00512ED3">
        <w:rPr>
          <w:rFonts w:ascii="Palatino Linotype" w:hAnsi="Palatino Linotype"/>
          <w:sz w:val="20"/>
          <w:szCs w:val="20"/>
          <w:lang w:eastAsia="en-US"/>
        </w:rPr>
        <w:t>”.</w:t>
      </w:r>
    </w:p>
    <w:p w14:paraId="6EB4D82A"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Potenza, lì ___________</w:t>
      </w:r>
    </w:p>
    <w:tbl>
      <w:tblPr>
        <w:tblW w:w="5000" w:type="pct"/>
        <w:jc w:val="center"/>
        <w:tblCellMar>
          <w:left w:w="70" w:type="dxa"/>
          <w:right w:w="70" w:type="dxa"/>
        </w:tblCellMar>
        <w:tblLook w:val="04A0" w:firstRow="1" w:lastRow="0" w:firstColumn="1" w:lastColumn="0" w:noHBand="0" w:noVBand="1"/>
      </w:tblPr>
      <w:tblGrid>
        <w:gridCol w:w="3318"/>
        <w:gridCol w:w="977"/>
        <w:gridCol w:w="5343"/>
      </w:tblGrid>
      <w:tr w:rsidR="00CB66F6" w:rsidRPr="00512ED3" w14:paraId="4CB4A61E" w14:textId="77777777" w:rsidTr="00656C5A">
        <w:trPr>
          <w:trHeight w:val="990"/>
          <w:jc w:val="center"/>
        </w:trPr>
        <w:tc>
          <w:tcPr>
            <w:tcW w:w="1721" w:type="pct"/>
            <w:tcBorders>
              <w:top w:val="nil"/>
              <w:left w:val="nil"/>
              <w:bottom w:val="nil"/>
              <w:right w:val="nil"/>
            </w:tcBorders>
            <w:shd w:val="clear" w:color="FFFFFF" w:fill="auto"/>
            <w:vAlign w:val="center"/>
            <w:hideMark/>
          </w:tcPr>
          <w:p w14:paraId="2AD5B527"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w:t>
            </w:r>
            <w:r w:rsidRPr="00512ED3">
              <w:rPr>
                <w:rFonts w:ascii="Palatino Linotype" w:hAnsi="Palatino Linotype"/>
                <w:i/>
                <w:iCs/>
                <w:color w:val="000000"/>
                <w:sz w:val="20"/>
                <w:szCs w:val="20"/>
              </w:rPr>
              <w:t>AGGIUDICATARIO</w:t>
            </w:r>
            <w:r w:rsidRPr="00512ED3">
              <w:rPr>
                <w:rFonts w:ascii="Palatino Linotype" w:hAnsi="Palatino Linotype"/>
                <w:color w:val="000000"/>
                <w:sz w:val="20"/>
                <w:szCs w:val="20"/>
              </w:rPr>
              <w:t>)</w:t>
            </w:r>
          </w:p>
          <w:p w14:paraId="6393503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______________________</w:t>
            </w:r>
          </w:p>
        </w:tc>
        <w:tc>
          <w:tcPr>
            <w:tcW w:w="507" w:type="pct"/>
            <w:tcBorders>
              <w:top w:val="nil"/>
              <w:left w:val="nil"/>
              <w:bottom w:val="nil"/>
              <w:right w:val="nil"/>
            </w:tcBorders>
            <w:shd w:val="clear" w:color="FFFFFF" w:fill="auto"/>
            <w:vAlign w:val="center"/>
            <w:hideMark/>
          </w:tcPr>
          <w:p w14:paraId="257A2168"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5960662D"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Dipartimento SUA-RB</w:t>
            </w:r>
          </w:p>
          <w:p w14:paraId="623CAC8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Ufficio Centrale di Committenza e Soggetto Aggregatore</w:t>
            </w:r>
          </w:p>
        </w:tc>
      </w:tr>
      <w:tr w:rsidR="00CB66F6" w:rsidRPr="00512ED3" w14:paraId="0821467E" w14:textId="77777777" w:rsidTr="00656C5A">
        <w:trPr>
          <w:trHeight w:val="195"/>
          <w:jc w:val="center"/>
        </w:trPr>
        <w:tc>
          <w:tcPr>
            <w:tcW w:w="1721" w:type="pct"/>
            <w:tcBorders>
              <w:top w:val="nil"/>
              <w:left w:val="nil"/>
              <w:bottom w:val="nil"/>
              <w:right w:val="nil"/>
            </w:tcBorders>
            <w:shd w:val="clear" w:color="FFFFFF" w:fill="auto"/>
            <w:vAlign w:val="center"/>
            <w:hideMark/>
          </w:tcPr>
          <w:p w14:paraId="4955A144" w14:textId="77777777" w:rsidR="00CB66F6" w:rsidRPr="00512ED3" w:rsidRDefault="00CB66F6" w:rsidP="00656C5A">
            <w:pPr>
              <w:jc w:val="center"/>
              <w:rPr>
                <w:rFonts w:ascii="Palatino Linotype" w:hAnsi="Palatino Linotype"/>
                <w:color w:val="000000"/>
                <w:sz w:val="20"/>
                <w:szCs w:val="20"/>
              </w:rPr>
            </w:pPr>
          </w:p>
        </w:tc>
        <w:tc>
          <w:tcPr>
            <w:tcW w:w="507" w:type="pct"/>
            <w:tcBorders>
              <w:top w:val="nil"/>
              <w:left w:val="nil"/>
              <w:bottom w:val="nil"/>
              <w:right w:val="nil"/>
            </w:tcBorders>
            <w:shd w:val="clear" w:color="FFFFFF" w:fill="auto"/>
            <w:vAlign w:val="center"/>
            <w:hideMark/>
          </w:tcPr>
          <w:p w14:paraId="75189BC5" w14:textId="77777777" w:rsidR="00CB66F6" w:rsidRPr="00512ED3" w:rsidRDefault="00CB66F6" w:rsidP="00656C5A">
            <w:pPr>
              <w:jc w:val="center"/>
              <w:rPr>
                <w:rFonts w:ascii="Palatino Linotype" w:hAnsi="Palatino Linotype"/>
                <w:sz w:val="20"/>
                <w:szCs w:val="20"/>
              </w:rPr>
            </w:pPr>
          </w:p>
        </w:tc>
        <w:tc>
          <w:tcPr>
            <w:tcW w:w="2772" w:type="pct"/>
            <w:tcBorders>
              <w:top w:val="nil"/>
              <w:left w:val="nil"/>
              <w:bottom w:val="nil"/>
              <w:right w:val="nil"/>
            </w:tcBorders>
            <w:shd w:val="clear" w:color="FFFFFF" w:fill="auto"/>
            <w:vAlign w:val="center"/>
            <w:hideMark/>
          </w:tcPr>
          <w:p w14:paraId="4C1CCE40" w14:textId="77777777" w:rsidR="00CB66F6" w:rsidRPr="00512ED3" w:rsidRDefault="00CB66F6" w:rsidP="00656C5A">
            <w:pPr>
              <w:jc w:val="center"/>
              <w:rPr>
                <w:rFonts w:ascii="Palatino Linotype" w:hAnsi="Palatino Linotype"/>
                <w:sz w:val="20"/>
                <w:szCs w:val="20"/>
              </w:rPr>
            </w:pPr>
          </w:p>
        </w:tc>
      </w:tr>
      <w:tr w:rsidR="00CB66F6" w:rsidRPr="00512ED3" w14:paraId="6E6EF875" w14:textId="77777777" w:rsidTr="00656C5A">
        <w:trPr>
          <w:trHeight w:val="675"/>
          <w:jc w:val="center"/>
        </w:trPr>
        <w:tc>
          <w:tcPr>
            <w:tcW w:w="1721" w:type="pct"/>
            <w:tcBorders>
              <w:top w:val="nil"/>
              <w:left w:val="nil"/>
              <w:bottom w:val="nil"/>
              <w:right w:val="nil"/>
            </w:tcBorders>
            <w:shd w:val="clear" w:color="FFFFFF" w:fill="auto"/>
            <w:vAlign w:val="center"/>
            <w:hideMark/>
          </w:tcPr>
          <w:p w14:paraId="7F9A100F"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L’Amministratore Unico</w:t>
            </w:r>
          </w:p>
          <w:p w14:paraId="546709CE"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__________________</w:t>
            </w:r>
          </w:p>
        </w:tc>
        <w:tc>
          <w:tcPr>
            <w:tcW w:w="507" w:type="pct"/>
            <w:tcBorders>
              <w:top w:val="nil"/>
              <w:left w:val="nil"/>
              <w:bottom w:val="nil"/>
              <w:right w:val="nil"/>
            </w:tcBorders>
            <w:shd w:val="clear" w:color="FFFFFF" w:fill="auto"/>
            <w:vAlign w:val="center"/>
            <w:hideMark/>
          </w:tcPr>
          <w:p w14:paraId="0FF01581" w14:textId="77777777" w:rsidR="00CB66F6" w:rsidRPr="00512ED3" w:rsidRDefault="00CB66F6" w:rsidP="00656C5A">
            <w:pPr>
              <w:jc w:val="center"/>
              <w:rPr>
                <w:rFonts w:ascii="Palatino Linotype" w:hAnsi="Palatino Linotype"/>
                <w:color w:val="000000"/>
                <w:sz w:val="20"/>
                <w:szCs w:val="20"/>
              </w:rPr>
            </w:pPr>
          </w:p>
        </w:tc>
        <w:tc>
          <w:tcPr>
            <w:tcW w:w="2772" w:type="pct"/>
            <w:tcBorders>
              <w:top w:val="nil"/>
              <w:left w:val="nil"/>
              <w:bottom w:val="nil"/>
              <w:right w:val="nil"/>
            </w:tcBorders>
            <w:shd w:val="clear" w:color="FFFFFF" w:fill="auto"/>
            <w:vAlign w:val="center"/>
            <w:hideMark/>
          </w:tcPr>
          <w:p w14:paraId="0875BE66" w14:textId="77777777" w:rsidR="00CB66F6" w:rsidRPr="00512ED3" w:rsidRDefault="00CB66F6" w:rsidP="00656C5A">
            <w:pPr>
              <w:jc w:val="center"/>
              <w:rPr>
                <w:rFonts w:ascii="Palatino Linotype" w:hAnsi="Palatino Linotype"/>
                <w:color w:val="000000"/>
                <w:sz w:val="20"/>
                <w:szCs w:val="20"/>
              </w:rPr>
            </w:pPr>
            <w:r w:rsidRPr="00512ED3">
              <w:rPr>
                <w:rFonts w:ascii="Palatino Linotype" w:hAnsi="Palatino Linotype"/>
                <w:color w:val="000000"/>
                <w:sz w:val="20"/>
                <w:szCs w:val="20"/>
              </w:rPr>
              <w:t>Il Dirigente</w:t>
            </w:r>
          </w:p>
          <w:p w14:paraId="2815FBF0" w14:textId="21A511B3" w:rsidR="00CB66F6" w:rsidRPr="00512ED3" w:rsidRDefault="003F6B80" w:rsidP="00656C5A">
            <w:pPr>
              <w:jc w:val="center"/>
              <w:rPr>
                <w:rFonts w:ascii="Palatino Linotype" w:hAnsi="Palatino Linotype"/>
                <w:color w:val="000000"/>
                <w:sz w:val="20"/>
                <w:szCs w:val="20"/>
              </w:rPr>
            </w:pPr>
            <w:r>
              <w:rPr>
                <w:rFonts w:ascii="Palatino Linotype" w:hAnsi="Palatino Linotype"/>
                <w:i/>
                <w:iCs/>
                <w:color w:val="000000"/>
                <w:sz w:val="20"/>
                <w:szCs w:val="20"/>
              </w:rPr>
              <w:t>______________________</w:t>
            </w:r>
          </w:p>
        </w:tc>
      </w:tr>
    </w:tbl>
    <w:p w14:paraId="323E8B47" w14:textId="77777777" w:rsidR="00CB66F6" w:rsidRPr="00512ED3" w:rsidRDefault="00CB66F6" w:rsidP="00CB66F6">
      <w:pPr>
        <w:pStyle w:val="Default"/>
        <w:spacing w:line="240" w:lineRule="auto"/>
        <w:rPr>
          <w:rFonts w:ascii="Palatino Linotype" w:hAnsi="Palatino Linotype"/>
          <w:sz w:val="20"/>
          <w:szCs w:val="20"/>
        </w:rPr>
      </w:pPr>
    </w:p>
    <w:p w14:paraId="2471F67D"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Il sottoscritto, nella qualità di legale rappresentante dell’Aggiudicatario, come meglio specificato in epigrafe, ai sensi e per gli effetti degli articoli 1341 e 1342 del codice civile, dichiara di avere particolareggiata e perfetta conoscenza di tutte le disposizioni contrattuali contenute nei paragrafi della presente Convenzione, di seguito elencati, e dichiara di accettarle ed approvarle specificamente con la sottoscrizione in calce all’elenco:</w:t>
      </w:r>
    </w:p>
    <w:p w14:paraId="4309EF21"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Definizioni</w:t>
      </w:r>
    </w:p>
    <w:p w14:paraId="6F27970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Valore delle premesse e degli atti di gara </w:t>
      </w:r>
    </w:p>
    <w:p w14:paraId="5CDA0A23"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Disciplina applicabile</w:t>
      </w:r>
    </w:p>
    <w:p w14:paraId="33C3C0D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Oggetto e durata della Convenzione</w:t>
      </w:r>
    </w:p>
    <w:p w14:paraId="77CA2064"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Procedura di adesione alla Convenzione </w:t>
      </w:r>
    </w:p>
    <w:p w14:paraId="20499B2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Obbligazioni dell’Aggiudicatario</w:t>
      </w:r>
    </w:p>
    <w:p w14:paraId="42D3217B"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Controlli sulla corretta esecuzione delle prestazioni contrattuali</w:t>
      </w:r>
    </w:p>
    <w:p w14:paraId="38B8497F"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Corrispettivo, fatturazione, modalità e tempi di pagamento  </w:t>
      </w:r>
    </w:p>
    <w:p w14:paraId="10E85080"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Tracciabilità dei flussi finanziari </w:t>
      </w:r>
    </w:p>
    <w:p w14:paraId="3B64FD4A"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Penali a carico dell’Aggiudicatario</w:t>
      </w:r>
    </w:p>
    <w:p w14:paraId="2C55E1F7"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Garanzia definitiva</w:t>
      </w:r>
    </w:p>
    <w:p w14:paraId="75CA91A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Risoluzione e Recesso </w:t>
      </w:r>
    </w:p>
    <w:p w14:paraId="77429419"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Subappalto </w:t>
      </w:r>
    </w:p>
    <w:p w14:paraId="50387A98"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Divieto di cessione del contratto. Ammissibilità della cessione dei crediti </w:t>
      </w:r>
    </w:p>
    <w:p w14:paraId="21C3E845"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Scambio di informazioni e recapiti  </w:t>
      </w:r>
    </w:p>
    <w:p w14:paraId="73B26ABE"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Oneri fiscali e spese contrattuali  </w:t>
      </w:r>
    </w:p>
    <w:p w14:paraId="1EB5E666" w14:textId="77777777" w:rsidR="00CB66F6" w:rsidRPr="00512ED3"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Foro competente </w:t>
      </w:r>
    </w:p>
    <w:p w14:paraId="435495C5" w14:textId="77777777" w:rsidR="00CB66F6" w:rsidRDefault="00CB66F6" w:rsidP="00CB66F6">
      <w:pPr>
        <w:pStyle w:val="Paragrafoelenco"/>
        <w:numPr>
          <w:ilvl w:val="0"/>
          <w:numId w:val="10"/>
        </w:numPr>
        <w:contextualSpacing/>
        <w:rPr>
          <w:rFonts w:ascii="Palatino Linotype" w:hAnsi="Palatino Linotype"/>
          <w:sz w:val="20"/>
          <w:szCs w:val="20"/>
        </w:rPr>
      </w:pPr>
      <w:r w:rsidRPr="00512ED3">
        <w:rPr>
          <w:rFonts w:ascii="Palatino Linotype" w:hAnsi="Palatino Linotype"/>
          <w:sz w:val="20"/>
          <w:szCs w:val="20"/>
        </w:rPr>
        <w:t xml:space="preserve">Trattamento dei dati personali e Riservatezza </w:t>
      </w:r>
    </w:p>
    <w:p w14:paraId="2E40CF60" w14:textId="25FBFDFB" w:rsidR="00685031" w:rsidRPr="00512ED3" w:rsidRDefault="00685031" w:rsidP="00CB66F6">
      <w:pPr>
        <w:pStyle w:val="Paragrafoelenco"/>
        <w:numPr>
          <w:ilvl w:val="0"/>
          <w:numId w:val="10"/>
        </w:numPr>
        <w:contextualSpacing/>
        <w:rPr>
          <w:rFonts w:ascii="Palatino Linotype" w:hAnsi="Palatino Linotype"/>
          <w:sz w:val="20"/>
          <w:szCs w:val="20"/>
        </w:rPr>
      </w:pPr>
      <w:r>
        <w:rPr>
          <w:rFonts w:ascii="Palatino Linotype" w:hAnsi="Palatino Linotype"/>
          <w:sz w:val="20"/>
          <w:szCs w:val="20"/>
        </w:rPr>
        <w:t>Norme di rinvio</w:t>
      </w:r>
    </w:p>
    <w:p w14:paraId="1F0281AE" w14:textId="77777777" w:rsidR="00CB66F6" w:rsidRPr="00512ED3" w:rsidRDefault="00CB66F6" w:rsidP="00CB66F6">
      <w:pPr>
        <w:pStyle w:val="Default"/>
        <w:spacing w:line="240" w:lineRule="auto"/>
        <w:rPr>
          <w:rFonts w:ascii="Palatino Linotype" w:hAnsi="Palatino Linotype" w:cs="Times New Roman"/>
          <w:sz w:val="20"/>
          <w:szCs w:val="20"/>
        </w:rPr>
      </w:pPr>
      <w:r w:rsidRPr="00512ED3">
        <w:rPr>
          <w:rFonts w:ascii="Palatino Linotype" w:hAnsi="Palatino Linotype"/>
          <w:sz w:val="20"/>
          <w:szCs w:val="20"/>
        </w:rPr>
        <w:t>Potenza, lì _________</w:t>
      </w:r>
    </w:p>
    <w:p w14:paraId="3E35C541" w14:textId="77777777" w:rsidR="00CB66F6" w:rsidRPr="00512ED3" w:rsidRDefault="00CB66F6" w:rsidP="00CB66F6">
      <w:pPr>
        <w:pStyle w:val="Default"/>
        <w:spacing w:line="240" w:lineRule="auto"/>
        <w:rPr>
          <w:rFonts w:ascii="Palatino Linotype" w:hAnsi="Palatino Linotype"/>
          <w:sz w:val="20"/>
          <w:szCs w:val="20"/>
        </w:rPr>
      </w:pPr>
    </w:p>
    <w:p w14:paraId="2FDD2EAC"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w:t>
      </w:r>
      <w:r w:rsidRPr="00512ED3">
        <w:rPr>
          <w:rFonts w:ascii="Palatino Linotype" w:hAnsi="Palatino Linotype"/>
          <w:i/>
          <w:iCs/>
          <w:sz w:val="20"/>
          <w:szCs w:val="20"/>
        </w:rPr>
        <w:t>AGGIUDICATARIO</w:t>
      </w:r>
      <w:r w:rsidRPr="00512ED3">
        <w:rPr>
          <w:rFonts w:ascii="Palatino Linotype" w:hAnsi="Palatino Linotype"/>
          <w:sz w:val="20"/>
          <w:szCs w:val="20"/>
        </w:rPr>
        <w:t>)</w:t>
      </w:r>
    </w:p>
    <w:p w14:paraId="53545114" w14:textId="77777777" w:rsidR="00CB66F6" w:rsidRPr="00512ED3" w:rsidRDefault="00CB66F6" w:rsidP="00CB66F6">
      <w:pPr>
        <w:pStyle w:val="Default"/>
        <w:spacing w:line="240" w:lineRule="auto"/>
        <w:rPr>
          <w:rFonts w:ascii="Palatino Linotype" w:hAnsi="Palatino Linotype"/>
          <w:sz w:val="20"/>
          <w:szCs w:val="20"/>
        </w:rPr>
      </w:pPr>
      <w:r w:rsidRPr="00512ED3">
        <w:rPr>
          <w:rFonts w:ascii="Palatino Linotype" w:hAnsi="Palatino Linotype"/>
          <w:sz w:val="20"/>
          <w:szCs w:val="20"/>
        </w:rPr>
        <w:t xml:space="preserve">____________________________ </w:t>
      </w:r>
    </w:p>
    <w:p w14:paraId="3706F294" w14:textId="77777777" w:rsidR="00F80629" w:rsidRPr="000004A6" w:rsidRDefault="00F80629" w:rsidP="00CB66F6">
      <w:pPr>
        <w:jc w:val="right"/>
        <w:rPr>
          <w:rFonts w:ascii="Palatino Linotype" w:eastAsia="New Aster" w:hAnsi="Palatino Linotype"/>
          <w:sz w:val="20"/>
        </w:rPr>
      </w:pPr>
    </w:p>
    <w:sectPr w:rsidR="00F80629" w:rsidRPr="000004A6" w:rsidSect="0062433E">
      <w:headerReference w:type="default" r:id="rId9"/>
      <w:footerReference w:type="default" r:id="rId10"/>
      <w:headerReference w:type="first" r:id="rId11"/>
      <w:footerReference w:type="first" r:id="rId12"/>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19460" w14:textId="77777777" w:rsidR="00B6093A" w:rsidRDefault="00B6093A" w:rsidP="00AC4270">
      <w:r>
        <w:separator/>
      </w:r>
    </w:p>
  </w:endnote>
  <w:endnote w:type="continuationSeparator" w:id="0">
    <w:p w14:paraId="162A7835" w14:textId="77777777" w:rsidR="00B6093A" w:rsidRDefault="00B6093A"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Aster">
    <w:altName w:val="Courier New"/>
    <w:charset w:val="00"/>
    <w:family w:val="auto"/>
    <w:pitch w:val="variable"/>
    <w:sig w:usb0="00000003" w:usb1="00000000" w:usb2="00000000" w:usb3="00000000" w:csb0="00000001" w:csb1="00000000"/>
  </w:font>
  <w:font w:name="EcoPedi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PSMT">
    <w:altName w:val="Courier New 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3EAB" w14:textId="4BCB45B4" w:rsidR="00A8581D" w:rsidRPr="00A8581D" w:rsidRDefault="00A8581D" w:rsidP="00A8581D">
    <w:pPr>
      <w:tabs>
        <w:tab w:val="center" w:pos="4819"/>
        <w:tab w:val="right" w:pos="9638"/>
      </w:tabs>
      <w:jc w:val="center"/>
      <w:rPr>
        <w:rFonts w:ascii="Palatino Linotype" w:hAnsi="Palatino Linotype"/>
        <w:i/>
        <w:color w:val="002060"/>
        <w:sz w:val="16"/>
        <w:szCs w:val="16"/>
      </w:rPr>
    </w:pPr>
    <w:r>
      <w:rPr>
        <w:rFonts w:ascii="Palatino Linotype" w:hAnsi="Palatino Linotype"/>
        <w:i/>
        <w:color w:val="002060"/>
        <w:sz w:val="16"/>
        <w:szCs w:val="16"/>
      </w:rPr>
      <w:t>SCHEMA DI CONVENZIONE</w:t>
    </w:r>
  </w:p>
  <w:p w14:paraId="16A6DB8C" w14:textId="72F767CA" w:rsidR="00692F38" w:rsidRPr="0070043C" w:rsidRDefault="00692F38" w:rsidP="00A96CC6">
    <w:pPr>
      <w:jc w:val="center"/>
      <w:rPr>
        <w:rFonts w:ascii="Palatino Linotype" w:hAnsi="Palatino Linotype"/>
        <w:b/>
        <w:i/>
        <w:color w:val="002060"/>
        <w:sz w:val="18"/>
        <w:szCs w:val="18"/>
      </w:rPr>
    </w:pP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81597">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81597">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81597">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81597">
      <w:rPr>
        <w:rFonts w:ascii="Palatino Linotype" w:hAnsi="Palatino Linotype"/>
        <w:b/>
        <w:bCs/>
        <w:i/>
        <w:noProof/>
        <w:color w:val="002060"/>
        <w:sz w:val="18"/>
        <w:szCs w:val="18"/>
      </w:rPr>
      <w:t>9</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2123F" w14:textId="77777777" w:rsidR="00B6093A" w:rsidRDefault="00B6093A" w:rsidP="00AC4270">
      <w:r>
        <w:separator/>
      </w:r>
    </w:p>
  </w:footnote>
  <w:footnote w:type="continuationSeparator" w:id="0">
    <w:p w14:paraId="638C9D55" w14:textId="77777777" w:rsidR="00B6093A" w:rsidRDefault="00B6093A" w:rsidP="00A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Via Vincenzo Verrastro, 4 – 85100 Potenza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8F560" w14:textId="35F5E562" w:rsidR="0070043C" w:rsidRPr="00A8581D" w:rsidRDefault="00A8581D" w:rsidP="00A8581D">
    <w:pPr>
      <w:pStyle w:val="Intestazione"/>
      <w:jc w:val="center"/>
    </w:pPr>
    <w:r>
      <w:rPr>
        <w:rFonts w:cs="Calibri"/>
        <w:b/>
        <w:noProof/>
        <w:sz w:val="32"/>
        <w:szCs w:val="32"/>
      </w:rPr>
      <w:drawing>
        <wp:inline distT="0" distB="0" distL="0" distR="0" wp14:anchorId="356DA41D" wp14:editId="4A3DB943">
          <wp:extent cx="1809750" cy="857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DD52FE"/>
    <w:multiLevelType w:val="hybridMultilevel"/>
    <w:tmpl w:val="AB9E90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AD24513"/>
    <w:multiLevelType w:val="hybridMultilevel"/>
    <w:tmpl w:val="A24EF37C"/>
    <w:lvl w:ilvl="0" w:tplc="78B40322">
      <w:start w:val="1"/>
      <w:numFmt w:val="decimal"/>
      <w:lvlText w:val="Art. %1"/>
      <w:lvlJc w:val="left"/>
      <w:pPr>
        <w:ind w:left="720" w:hanging="360"/>
      </w:pPr>
      <w:rPr>
        <w:rFonts w:ascii="Palatino Linotype" w:hAnsi="Palatino Linotype"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C81778"/>
    <w:multiLevelType w:val="hybridMultilevel"/>
    <w:tmpl w:val="32184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020C84"/>
    <w:multiLevelType w:val="hybridMultilevel"/>
    <w:tmpl w:val="AFFABA66"/>
    <w:lvl w:ilvl="0" w:tplc="D75EBF7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C25D36"/>
    <w:multiLevelType w:val="hybridMultilevel"/>
    <w:tmpl w:val="3D2AF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3B1F0B"/>
    <w:multiLevelType w:val="hybridMultilevel"/>
    <w:tmpl w:val="7640F140"/>
    <w:lvl w:ilvl="0" w:tplc="CAF26056">
      <w:start w:val="1"/>
      <w:numFmt w:val="decimal"/>
      <w:lvlText w:val="Art. %1"/>
      <w:lvlJc w:val="left"/>
      <w:pPr>
        <w:ind w:left="720" w:hanging="360"/>
      </w:pPr>
      <w:rPr>
        <w:rFonts w:ascii="Palatino Linotype" w:hAnsi="Palatino Linotype"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814289"/>
    <w:multiLevelType w:val="hybridMultilevel"/>
    <w:tmpl w:val="36FCAD20"/>
    <w:lvl w:ilvl="0" w:tplc="04100009">
      <w:start w:val="1"/>
      <w:numFmt w:val="bullet"/>
      <w:lvlText w:val=""/>
      <w:lvlJc w:val="left"/>
      <w:pPr>
        <w:ind w:left="6720" w:hanging="360"/>
      </w:pPr>
      <w:rPr>
        <w:rFonts w:ascii="Wingdings" w:hAnsi="Wingdings" w:hint="default"/>
      </w:rPr>
    </w:lvl>
    <w:lvl w:ilvl="1" w:tplc="04100003">
      <w:start w:val="1"/>
      <w:numFmt w:val="bullet"/>
      <w:lvlText w:val="o"/>
      <w:lvlJc w:val="left"/>
      <w:pPr>
        <w:ind w:left="7440" w:hanging="360"/>
      </w:pPr>
      <w:rPr>
        <w:rFonts w:ascii="Courier New" w:hAnsi="Courier New" w:cs="Courier New" w:hint="default"/>
      </w:rPr>
    </w:lvl>
    <w:lvl w:ilvl="2" w:tplc="82C085F2">
      <w:start w:val="1"/>
      <w:numFmt w:val="bullet"/>
      <w:suff w:val="space"/>
      <w:lvlText w:val=""/>
      <w:lvlJc w:val="left"/>
      <w:pPr>
        <w:ind w:left="1304" w:hanging="170"/>
      </w:pPr>
      <w:rPr>
        <w:rFonts w:ascii="Wingdings" w:hAnsi="Wingdings" w:hint="default"/>
      </w:rPr>
    </w:lvl>
    <w:lvl w:ilvl="3" w:tplc="04100001">
      <w:start w:val="1"/>
      <w:numFmt w:val="bullet"/>
      <w:lvlText w:val=""/>
      <w:lvlJc w:val="left"/>
      <w:pPr>
        <w:ind w:left="8880" w:hanging="360"/>
      </w:pPr>
      <w:rPr>
        <w:rFonts w:ascii="Symbol" w:hAnsi="Symbol" w:hint="default"/>
      </w:rPr>
    </w:lvl>
    <w:lvl w:ilvl="4" w:tplc="04100003">
      <w:start w:val="1"/>
      <w:numFmt w:val="bullet"/>
      <w:lvlText w:val="o"/>
      <w:lvlJc w:val="left"/>
      <w:pPr>
        <w:ind w:left="9600" w:hanging="360"/>
      </w:pPr>
      <w:rPr>
        <w:rFonts w:ascii="Courier New" w:hAnsi="Courier New" w:cs="Courier New" w:hint="default"/>
      </w:rPr>
    </w:lvl>
    <w:lvl w:ilvl="5" w:tplc="04100005">
      <w:start w:val="1"/>
      <w:numFmt w:val="bullet"/>
      <w:lvlText w:val=""/>
      <w:lvlJc w:val="left"/>
      <w:pPr>
        <w:ind w:left="10320" w:hanging="360"/>
      </w:pPr>
      <w:rPr>
        <w:rFonts w:ascii="Wingdings" w:hAnsi="Wingdings" w:hint="default"/>
      </w:rPr>
    </w:lvl>
    <w:lvl w:ilvl="6" w:tplc="04100001">
      <w:start w:val="1"/>
      <w:numFmt w:val="bullet"/>
      <w:lvlText w:val=""/>
      <w:lvlJc w:val="left"/>
      <w:pPr>
        <w:ind w:left="11040" w:hanging="360"/>
      </w:pPr>
      <w:rPr>
        <w:rFonts w:ascii="Symbol" w:hAnsi="Symbol" w:hint="default"/>
      </w:rPr>
    </w:lvl>
    <w:lvl w:ilvl="7" w:tplc="04100003">
      <w:start w:val="1"/>
      <w:numFmt w:val="bullet"/>
      <w:lvlText w:val="o"/>
      <w:lvlJc w:val="left"/>
      <w:pPr>
        <w:ind w:left="11760" w:hanging="360"/>
      </w:pPr>
      <w:rPr>
        <w:rFonts w:ascii="Courier New" w:hAnsi="Courier New" w:cs="Courier New" w:hint="default"/>
      </w:rPr>
    </w:lvl>
    <w:lvl w:ilvl="8" w:tplc="04100005">
      <w:start w:val="1"/>
      <w:numFmt w:val="bullet"/>
      <w:lvlText w:val=""/>
      <w:lvlJc w:val="left"/>
      <w:pPr>
        <w:ind w:left="12480" w:hanging="360"/>
      </w:pPr>
      <w:rPr>
        <w:rFonts w:ascii="Wingdings" w:hAnsi="Wingdings" w:hint="default"/>
      </w:rPr>
    </w:lvl>
  </w:abstractNum>
  <w:abstractNum w:abstractNumId="13" w15:restartNumberingAfterBreak="0">
    <w:nsid w:val="55D063FC"/>
    <w:multiLevelType w:val="hybridMultilevel"/>
    <w:tmpl w:val="A85EC740"/>
    <w:lvl w:ilvl="0" w:tplc="94585DA8">
      <w:start w:val="1"/>
      <w:numFmt w:val="lowerRoman"/>
      <w:suff w:val="space"/>
      <w:lvlText w:val="%1."/>
      <w:lvlJc w:val="right"/>
      <w:pPr>
        <w:ind w:left="720" w:firstLine="964"/>
      </w:pPr>
      <w:rPr>
        <w:sz w:val="22"/>
        <w:szCs w:val="22"/>
      </w:rPr>
    </w:lvl>
    <w:lvl w:ilvl="1" w:tplc="04100003">
      <w:start w:val="1"/>
      <w:numFmt w:val="bullet"/>
      <w:lvlText w:val="o"/>
      <w:lvlJc w:val="left"/>
      <w:pPr>
        <w:ind w:left="3486" w:hanging="360"/>
      </w:pPr>
      <w:rPr>
        <w:rFonts w:ascii="Courier New" w:hAnsi="Courier New" w:cs="Courier New" w:hint="default"/>
      </w:rPr>
    </w:lvl>
    <w:lvl w:ilvl="2" w:tplc="E6B8DB90">
      <w:numFmt w:val="bullet"/>
      <w:lvlText w:val="—"/>
      <w:lvlJc w:val="left"/>
      <w:pPr>
        <w:ind w:left="4671" w:hanging="825"/>
      </w:pPr>
      <w:rPr>
        <w:rFonts w:ascii="Calibri" w:eastAsia="New Aster" w:hAnsi="Calibri" w:cs="Times New Roman" w:hint="default"/>
      </w:rPr>
    </w:lvl>
    <w:lvl w:ilvl="3" w:tplc="04100001">
      <w:start w:val="1"/>
      <w:numFmt w:val="bullet"/>
      <w:lvlText w:val=""/>
      <w:lvlJc w:val="left"/>
      <w:pPr>
        <w:ind w:left="4926" w:hanging="360"/>
      </w:pPr>
      <w:rPr>
        <w:rFonts w:ascii="Symbol" w:hAnsi="Symbol" w:hint="default"/>
      </w:rPr>
    </w:lvl>
    <w:lvl w:ilvl="4" w:tplc="04100003">
      <w:start w:val="1"/>
      <w:numFmt w:val="bullet"/>
      <w:lvlText w:val="o"/>
      <w:lvlJc w:val="left"/>
      <w:pPr>
        <w:ind w:left="5646" w:hanging="360"/>
      </w:pPr>
      <w:rPr>
        <w:rFonts w:ascii="Courier New" w:hAnsi="Courier New" w:cs="Courier New" w:hint="default"/>
      </w:rPr>
    </w:lvl>
    <w:lvl w:ilvl="5" w:tplc="04100005">
      <w:start w:val="1"/>
      <w:numFmt w:val="bullet"/>
      <w:lvlText w:val=""/>
      <w:lvlJc w:val="left"/>
      <w:pPr>
        <w:ind w:left="6366" w:hanging="360"/>
      </w:pPr>
      <w:rPr>
        <w:rFonts w:ascii="Wingdings" w:hAnsi="Wingdings" w:hint="default"/>
      </w:rPr>
    </w:lvl>
    <w:lvl w:ilvl="6" w:tplc="04100001">
      <w:start w:val="1"/>
      <w:numFmt w:val="bullet"/>
      <w:lvlText w:val=""/>
      <w:lvlJc w:val="left"/>
      <w:pPr>
        <w:ind w:left="7086" w:hanging="360"/>
      </w:pPr>
      <w:rPr>
        <w:rFonts w:ascii="Symbol" w:hAnsi="Symbol" w:hint="default"/>
      </w:rPr>
    </w:lvl>
    <w:lvl w:ilvl="7" w:tplc="04100003">
      <w:start w:val="1"/>
      <w:numFmt w:val="bullet"/>
      <w:lvlText w:val="o"/>
      <w:lvlJc w:val="left"/>
      <w:pPr>
        <w:ind w:left="7806" w:hanging="360"/>
      </w:pPr>
      <w:rPr>
        <w:rFonts w:ascii="Courier New" w:hAnsi="Courier New" w:cs="Courier New" w:hint="default"/>
      </w:rPr>
    </w:lvl>
    <w:lvl w:ilvl="8" w:tplc="04100005">
      <w:start w:val="1"/>
      <w:numFmt w:val="bullet"/>
      <w:lvlText w:val=""/>
      <w:lvlJc w:val="left"/>
      <w:pPr>
        <w:ind w:left="8526" w:hanging="360"/>
      </w:pPr>
      <w:rPr>
        <w:rFonts w:ascii="Wingdings" w:hAnsi="Wingdings" w:hint="default"/>
      </w:rPr>
    </w:lvl>
  </w:abstractNum>
  <w:abstractNum w:abstractNumId="14" w15:restartNumberingAfterBreak="0">
    <w:nsid w:val="591666BA"/>
    <w:multiLevelType w:val="hybridMultilevel"/>
    <w:tmpl w:val="5BCAA61A"/>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0"/>
  </w:num>
  <w:num w:numId="6">
    <w:abstractNumId w:val="0"/>
  </w:num>
  <w:num w:numId="7">
    <w:abstractNumId w:val="8"/>
  </w:num>
  <w:num w:numId="8">
    <w:abstractNumId w:val="14"/>
  </w:num>
  <w:num w:numId="9">
    <w:abstractNumId w:val="11"/>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03E5"/>
    <w:rsid w:val="00001EF4"/>
    <w:rsid w:val="00002B31"/>
    <w:rsid w:val="000059C7"/>
    <w:rsid w:val="000063D1"/>
    <w:rsid w:val="00012DB8"/>
    <w:rsid w:val="00013076"/>
    <w:rsid w:val="0001440D"/>
    <w:rsid w:val="000219F7"/>
    <w:rsid w:val="000250DC"/>
    <w:rsid w:val="00026120"/>
    <w:rsid w:val="000263F7"/>
    <w:rsid w:val="00030226"/>
    <w:rsid w:val="00032CB6"/>
    <w:rsid w:val="00033F4A"/>
    <w:rsid w:val="00042DE8"/>
    <w:rsid w:val="000448A8"/>
    <w:rsid w:val="00045BF1"/>
    <w:rsid w:val="000515AA"/>
    <w:rsid w:val="00052EC7"/>
    <w:rsid w:val="00053944"/>
    <w:rsid w:val="000612CC"/>
    <w:rsid w:val="00062686"/>
    <w:rsid w:val="000632DA"/>
    <w:rsid w:val="000673F5"/>
    <w:rsid w:val="00071E29"/>
    <w:rsid w:val="00073934"/>
    <w:rsid w:val="00076E7F"/>
    <w:rsid w:val="0007716D"/>
    <w:rsid w:val="000776BE"/>
    <w:rsid w:val="00081334"/>
    <w:rsid w:val="00083F5A"/>
    <w:rsid w:val="000853AE"/>
    <w:rsid w:val="00087D6C"/>
    <w:rsid w:val="00087FAD"/>
    <w:rsid w:val="00090154"/>
    <w:rsid w:val="000A0FA7"/>
    <w:rsid w:val="000A5F2F"/>
    <w:rsid w:val="000A67AD"/>
    <w:rsid w:val="000B34DB"/>
    <w:rsid w:val="000B4A83"/>
    <w:rsid w:val="000D2291"/>
    <w:rsid w:val="000E53FF"/>
    <w:rsid w:val="000F27FD"/>
    <w:rsid w:val="000F36CD"/>
    <w:rsid w:val="000F3C6B"/>
    <w:rsid w:val="000F3D60"/>
    <w:rsid w:val="000F6FD6"/>
    <w:rsid w:val="00101FED"/>
    <w:rsid w:val="00105316"/>
    <w:rsid w:val="00105BDF"/>
    <w:rsid w:val="00105C0B"/>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31BF"/>
    <w:rsid w:val="00185CA2"/>
    <w:rsid w:val="00192AF3"/>
    <w:rsid w:val="00196CFA"/>
    <w:rsid w:val="001A25E4"/>
    <w:rsid w:val="001A4E9A"/>
    <w:rsid w:val="001A652B"/>
    <w:rsid w:val="001A700D"/>
    <w:rsid w:val="001A729A"/>
    <w:rsid w:val="001A7FCD"/>
    <w:rsid w:val="001B3869"/>
    <w:rsid w:val="001B39FF"/>
    <w:rsid w:val="001B6069"/>
    <w:rsid w:val="001B7632"/>
    <w:rsid w:val="001C172B"/>
    <w:rsid w:val="001C36BC"/>
    <w:rsid w:val="001C388D"/>
    <w:rsid w:val="001C51DE"/>
    <w:rsid w:val="001C5F61"/>
    <w:rsid w:val="001C6140"/>
    <w:rsid w:val="001D03B5"/>
    <w:rsid w:val="001D0806"/>
    <w:rsid w:val="001D213D"/>
    <w:rsid w:val="001D5CB6"/>
    <w:rsid w:val="001D606D"/>
    <w:rsid w:val="001E0095"/>
    <w:rsid w:val="001E134D"/>
    <w:rsid w:val="001E316B"/>
    <w:rsid w:val="001E365D"/>
    <w:rsid w:val="001E440C"/>
    <w:rsid w:val="001E449D"/>
    <w:rsid w:val="001E577F"/>
    <w:rsid w:val="001E7786"/>
    <w:rsid w:val="001F0F3C"/>
    <w:rsid w:val="001F10D7"/>
    <w:rsid w:val="001F606A"/>
    <w:rsid w:val="001F60DF"/>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10D8"/>
    <w:rsid w:val="00242BEB"/>
    <w:rsid w:val="002442CB"/>
    <w:rsid w:val="00244CCE"/>
    <w:rsid w:val="00251A4D"/>
    <w:rsid w:val="002650A4"/>
    <w:rsid w:val="0026672D"/>
    <w:rsid w:val="00267D86"/>
    <w:rsid w:val="00270DCB"/>
    <w:rsid w:val="0027436D"/>
    <w:rsid w:val="00275D3F"/>
    <w:rsid w:val="00275DD2"/>
    <w:rsid w:val="002766CC"/>
    <w:rsid w:val="0027711D"/>
    <w:rsid w:val="00281597"/>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4535"/>
    <w:rsid w:val="002E5BB1"/>
    <w:rsid w:val="002E74E2"/>
    <w:rsid w:val="002F5965"/>
    <w:rsid w:val="002F7248"/>
    <w:rsid w:val="00305CED"/>
    <w:rsid w:val="00307C40"/>
    <w:rsid w:val="00311318"/>
    <w:rsid w:val="00311327"/>
    <w:rsid w:val="00317FAD"/>
    <w:rsid w:val="003378BF"/>
    <w:rsid w:val="00337E6C"/>
    <w:rsid w:val="0034211C"/>
    <w:rsid w:val="0034239C"/>
    <w:rsid w:val="003434E6"/>
    <w:rsid w:val="0034682E"/>
    <w:rsid w:val="00346B07"/>
    <w:rsid w:val="00352219"/>
    <w:rsid w:val="00353678"/>
    <w:rsid w:val="003615C6"/>
    <w:rsid w:val="00362B7E"/>
    <w:rsid w:val="00364C56"/>
    <w:rsid w:val="00374C49"/>
    <w:rsid w:val="003762FE"/>
    <w:rsid w:val="00381120"/>
    <w:rsid w:val="003832D6"/>
    <w:rsid w:val="0038392D"/>
    <w:rsid w:val="00386D94"/>
    <w:rsid w:val="00392DAD"/>
    <w:rsid w:val="00393627"/>
    <w:rsid w:val="0039510E"/>
    <w:rsid w:val="0039530C"/>
    <w:rsid w:val="003A0EB4"/>
    <w:rsid w:val="003A49C7"/>
    <w:rsid w:val="003A4FA6"/>
    <w:rsid w:val="003A6E57"/>
    <w:rsid w:val="003A7F04"/>
    <w:rsid w:val="003B1515"/>
    <w:rsid w:val="003B5AA4"/>
    <w:rsid w:val="003B5C31"/>
    <w:rsid w:val="003B6B48"/>
    <w:rsid w:val="003C2361"/>
    <w:rsid w:val="003C2F7D"/>
    <w:rsid w:val="003C3A00"/>
    <w:rsid w:val="003C4BF6"/>
    <w:rsid w:val="003C6243"/>
    <w:rsid w:val="003D048D"/>
    <w:rsid w:val="003D582B"/>
    <w:rsid w:val="003D61FD"/>
    <w:rsid w:val="003E19CA"/>
    <w:rsid w:val="003E37C5"/>
    <w:rsid w:val="003F09E9"/>
    <w:rsid w:val="003F2A28"/>
    <w:rsid w:val="003F352D"/>
    <w:rsid w:val="003F5163"/>
    <w:rsid w:val="003F6B80"/>
    <w:rsid w:val="003F7D17"/>
    <w:rsid w:val="00401F43"/>
    <w:rsid w:val="004027A1"/>
    <w:rsid w:val="00403DA9"/>
    <w:rsid w:val="00405087"/>
    <w:rsid w:val="004064F7"/>
    <w:rsid w:val="00406E6D"/>
    <w:rsid w:val="00411164"/>
    <w:rsid w:val="0041292D"/>
    <w:rsid w:val="0041340C"/>
    <w:rsid w:val="004213B7"/>
    <w:rsid w:val="0042502B"/>
    <w:rsid w:val="00432EBF"/>
    <w:rsid w:val="00437ABC"/>
    <w:rsid w:val="00441025"/>
    <w:rsid w:val="00441671"/>
    <w:rsid w:val="00444B46"/>
    <w:rsid w:val="0044508F"/>
    <w:rsid w:val="00446B22"/>
    <w:rsid w:val="00450933"/>
    <w:rsid w:val="00451D14"/>
    <w:rsid w:val="004529BF"/>
    <w:rsid w:val="00457F1C"/>
    <w:rsid w:val="004626E2"/>
    <w:rsid w:val="00464225"/>
    <w:rsid w:val="004642F7"/>
    <w:rsid w:val="00464B55"/>
    <w:rsid w:val="00464C66"/>
    <w:rsid w:val="00465D58"/>
    <w:rsid w:val="00470F60"/>
    <w:rsid w:val="00472A00"/>
    <w:rsid w:val="0047783D"/>
    <w:rsid w:val="00477E18"/>
    <w:rsid w:val="00482220"/>
    <w:rsid w:val="00491B05"/>
    <w:rsid w:val="004A138B"/>
    <w:rsid w:val="004A1CAD"/>
    <w:rsid w:val="004B1081"/>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174F0"/>
    <w:rsid w:val="00517CFA"/>
    <w:rsid w:val="00521F68"/>
    <w:rsid w:val="0053017B"/>
    <w:rsid w:val="00531C48"/>
    <w:rsid w:val="00534EB8"/>
    <w:rsid w:val="00541E84"/>
    <w:rsid w:val="00541F0B"/>
    <w:rsid w:val="00542265"/>
    <w:rsid w:val="00544764"/>
    <w:rsid w:val="00546ABE"/>
    <w:rsid w:val="005476D5"/>
    <w:rsid w:val="005512E4"/>
    <w:rsid w:val="00554355"/>
    <w:rsid w:val="005561C3"/>
    <w:rsid w:val="00560445"/>
    <w:rsid w:val="00564003"/>
    <w:rsid w:val="00565B57"/>
    <w:rsid w:val="0056640D"/>
    <w:rsid w:val="00567E09"/>
    <w:rsid w:val="005753D9"/>
    <w:rsid w:val="005756DF"/>
    <w:rsid w:val="00576213"/>
    <w:rsid w:val="00580DE7"/>
    <w:rsid w:val="00580E2F"/>
    <w:rsid w:val="005819E0"/>
    <w:rsid w:val="00585260"/>
    <w:rsid w:val="0058547B"/>
    <w:rsid w:val="0059076A"/>
    <w:rsid w:val="00591855"/>
    <w:rsid w:val="00592264"/>
    <w:rsid w:val="005966F0"/>
    <w:rsid w:val="005A0586"/>
    <w:rsid w:val="005A2DF8"/>
    <w:rsid w:val="005A7AEF"/>
    <w:rsid w:val="005B55AB"/>
    <w:rsid w:val="005B60F8"/>
    <w:rsid w:val="005B6542"/>
    <w:rsid w:val="005B7066"/>
    <w:rsid w:val="005B73C2"/>
    <w:rsid w:val="005B7B2D"/>
    <w:rsid w:val="005C1717"/>
    <w:rsid w:val="005C49E3"/>
    <w:rsid w:val="005D3A41"/>
    <w:rsid w:val="005D6E5C"/>
    <w:rsid w:val="005D6FCE"/>
    <w:rsid w:val="005D76ED"/>
    <w:rsid w:val="005E5E2C"/>
    <w:rsid w:val="005E6709"/>
    <w:rsid w:val="005E7708"/>
    <w:rsid w:val="005F7B7B"/>
    <w:rsid w:val="00614312"/>
    <w:rsid w:val="00614A0D"/>
    <w:rsid w:val="0061554B"/>
    <w:rsid w:val="006157D5"/>
    <w:rsid w:val="00623B40"/>
    <w:rsid w:val="0062433E"/>
    <w:rsid w:val="00625478"/>
    <w:rsid w:val="00626B82"/>
    <w:rsid w:val="00627B44"/>
    <w:rsid w:val="00630089"/>
    <w:rsid w:val="00631C02"/>
    <w:rsid w:val="0063286E"/>
    <w:rsid w:val="006337B1"/>
    <w:rsid w:val="006371AE"/>
    <w:rsid w:val="006378D8"/>
    <w:rsid w:val="00641243"/>
    <w:rsid w:val="00641984"/>
    <w:rsid w:val="00646204"/>
    <w:rsid w:val="00651E19"/>
    <w:rsid w:val="00652664"/>
    <w:rsid w:val="006542AA"/>
    <w:rsid w:val="00660C97"/>
    <w:rsid w:val="00661205"/>
    <w:rsid w:val="00666752"/>
    <w:rsid w:val="00666B06"/>
    <w:rsid w:val="00666EE0"/>
    <w:rsid w:val="00670E95"/>
    <w:rsid w:val="006747A1"/>
    <w:rsid w:val="00675B01"/>
    <w:rsid w:val="0067635D"/>
    <w:rsid w:val="00676EBE"/>
    <w:rsid w:val="00681234"/>
    <w:rsid w:val="006822C3"/>
    <w:rsid w:val="00685031"/>
    <w:rsid w:val="006855D7"/>
    <w:rsid w:val="006907FC"/>
    <w:rsid w:val="0069124C"/>
    <w:rsid w:val="00691560"/>
    <w:rsid w:val="00691B12"/>
    <w:rsid w:val="00692F38"/>
    <w:rsid w:val="00695A1F"/>
    <w:rsid w:val="00695B9F"/>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E4427"/>
    <w:rsid w:val="006F20E1"/>
    <w:rsid w:val="006F2DB2"/>
    <w:rsid w:val="006F519D"/>
    <w:rsid w:val="0070043C"/>
    <w:rsid w:val="00700F25"/>
    <w:rsid w:val="00703045"/>
    <w:rsid w:val="007107A9"/>
    <w:rsid w:val="00710D3E"/>
    <w:rsid w:val="007113CE"/>
    <w:rsid w:val="00713126"/>
    <w:rsid w:val="00715910"/>
    <w:rsid w:val="00720706"/>
    <w:rsid w:val="0072148D"/>
    <w:rsid w:val="007234A1"/>
    <w:rsid w:val="007274F0"/>
    <w:rsid w:val="007301DA"/>
    <w:rsid w:val="00730BA2"/>
    <w:rsid w:val="00741053"/>
    <w:rsid w:val="00750C98"/>
    <w:rsid w:val="007522E9"/>
    <w:rsid w:val="007541AA"/>
    <w:rsid w:val="00754E26"/>
    <w:rsid w:val="007635D9"/>
    <w:rsid w:val="007676BC"/>
    <w:rsid w:val="007676EE"/>
    <w:rsid w:val="00770440"/>
    <w:rsid w:val="0077536F"/>
    <w:rsid w:val="00776935"/>
    <w:rsid w:val="0077716E"/>
    <w:rsid w:val="00780022"/>
    <w:rsid w:val="00780E0E"/>
    <w:rsid w:val="007810A7"/>
    <w:rsid w:val="007833BB"/>
    <w:rsid w:val="00783AE1"/>
    <w:rsid w:val="00790B81"/>
    <w:rsid w:val="00795169"/>
    <w:rsid w:val="00795960"/>
    <w:rsid w:val="0079605D"/>
    <w:rsid w:val="007A1430"/>
    <w:rsid w:val="007A1B1C"/>
    <w:rsid w:val="007A3EB7"/>
    <w:rsid w:val="007A58C3"/>
    <w:rsid w:val="007A6D9F"/>
    <w:rsid w:val="007B3908"/>
    <w:rsid w:val="007B458E"/>
    <w:rsid w:val="007C0D55"/>
    <w:rsid w:val="007C35BE"/>
    <w:rsid w:val="007C3701"/>
    <w:rsid w:val="007C41D1"/>
    <w:rsid w:val="007D077E"/>
    <w:rsid w:val="007D2383"/>
    <w:rsid w:val="007D3E6E"/>
    <w:rsid w:val="007D68D7"/>
    <w:rsid w:val="007E20AF"/>
    <w:rsid w:val="007E4796"/>
    <w:rsid w:val="007E4C01"/>
    <w:rsid w:val="007E6FE6"/>
    <w:rsid w:val="007F1044"/>
    <w:rsid w:val="007F1195"/>
    <w:rsid w:val="007F1462"/>
    <w:rsid w:val="007F20F2"/>
    <w:rsid w:val="007F7B4F"/>
    <w:rsid w:val="00802A9B"/>
    <w:rsid w:val="00802E6E"/>
    <w:rsid w:val="008035DB"/>
    <w:rsid w:val="00804D52"/>
    <w:rsid w:val="0080525A"/>
    <w:rsid w:val="00805356"/>
    <w:rsid w:val="00806105"/>
    <w:rsid w:val="00812895"/>
    <w:rsid w:val="00813AB6"/>
    <w:rsid w:val="00820BC1"/>
    <w:rsid w:val="008218C5"/>
    <w:rsid w:val="008219D0"/>
    <w:rsid w:val="00825821"/>
    <w:rsid w:val="0082614C"/>
    <w:rsid w:val="008329F2"/>
    <w:rsid w:val="00833697"/>
    <w:rsid w:val="00843AB6"/>
    <w:rsid w:val="00847887"/>
    <w:rsid w:val="00856996"/>
    <w:rsid w:val="008569A5"/>
    <w:rsid w:val="00856B75"/>
    <w:rsid w:val="0086087A"/>
    <w:rsid w:val="00866E2C"/>
    <w:rsid w:val="00867655"/>
    <w:rsid w:val="00867BDB"/>
    <w:rsid w:val="00870F13"/>
    <w:rsid w:val="008721D1"/>
    <w:rsid w:val="0087364E"/>
    <w:rsid w:val="008755C2"/>
    <w:rsid w:val="00877C7E"/>
    <w:rsid w:val="008834F8"/>
    <w:rsid w:val="00885296"/>
    <w:rsid w:val="008853A5"/>
    <w:rsid w:val="00886797"/>
    <w:rsid w:val="0089032A"/>
    <w:rsid w:val="008927A0"/>
    <w:rsid w:val="00895423"/>
    <w:rsid w:val="00895F64"/>
    <w:rsid w:val="008966E3"/>
    <w:rsid w:val="008A0E61"/>
    <w:rsid w:val="008A27A1"/>
    <w:rsid w:val="008A4A5E"/>
    <w:rsid w:val="008A5A6E"/>
    <w:rsid w:val="008A6E63"/>
    <w:rsid w:val="008A7590"/>
    <w:rsid w:val="008A7ACF"/>
    <w:rsid w:val="008B1581"/>
    <w:rsid w:val="008B4699"/>
    <w:rsid w:val="008B57EC"/>
    <w:rsid w:val="008B7731"/>
    <w:rsid w:val="008C023D"/>
    <w:rsid w:val="008C1CC7"/>
    <w:rsid w:val="008C2A72"/>
    <w:rsid w:val="008C357C"/>
    <w:rsid w:val="008D4037"/>
    <w:rsid w:val="008D4575"/>
    <w:rsid w:val="008D53F9"/>
    <w:rsid w:val="008D7C9A"/>
    <w:rsid w:val="008E0E99"/>
    <w:rsid w:val="008E5991"/>
    <w:rsid w:val="008E6275"/>
    <w:rsid w:val="008E63FE"/>
    <w:rsid w:val="008E65C3"/>
    <w:rsid w:val="008F2173"/>
    <w:rsid w:val="008F37DE"/>
    <w:rsid w:val="008F4627"/>
    <w:rsid w:val="008F5802"/>
    <w:rsid w:val="008F6263"/>
    <w:rsid w:val="00906903"/>
    <w:rsid w:val="00912D07"/>
    <w:rsid w:val="009162DE"/>
    <w:rsid w:val="009166A6"/>
    <w:rsid w:val="00921A1F"/>
    <w:rsid w:val="00922B07"/>
    <w:rsid w:val="009263F1"/>
    <w:rsid w:val="00926BBB"/>
    <w:rsid w:val="00931700"/>
    <w:rsid w:val="00937E78"/>
    <w:rsid w:val="00941F66"/>
    <w:rsid w:val="009423A3"/>
    <w:rsid w:val="00944144"/>
    <w:rsid w:val="00944172"/>
    <w:rsid w:val="009451FA"/>
    <w:rsid w:val="009517B9"/>
    <w:rsid w:val="00953B06"/>
    <w:rsid w:val="009563BB"/>
    <w:rsid w:val="00960D47"/>
    <w:rsid w:val="00961010"/>
    <w:rsid w:val="009663E7"/>
    <w:rsid w:val="00966551"/>
    <w:rsid w:val="00971898"/>
    <w:rsid w:val="0097302B"/>
    <w:rsid w:val="009742E4"/>
    <w:rsid w:val="00976831"/>
    <w:rsid w:val="00980F87"/>
    <w:rsid w:val="00983478"/>
    <w:rsid w:val="00985FF0"/>
    <w:rsid w:val="009875AF"/>
    <w:rsid w:val="00987880"/>
    <w:rsid w:val="009A102C"/>
    <w:rsid w:val="009A243E"/>
    <w:rsid w:val="009A24C2"/>
    <w:rsid w:val="009A2F49"/>
    <w:rsid w:val="009A3270"/>
    <w:rsid w:val="009A5E15"/>
    <w:rsid w:val="009B05B9"/>
    <w:rsid w:val="009B2622"/>
    <w:rsid w:val="009B5CEC"/>
    <w:rsid w:val="009C60B8"/>
    <w:rsid w:val="009D1484"/>
    <w:rsid w:val="009D18BF"/>
    <w:rsid w:val="009D31EC"/>
    <w:rsid w:val="009E2BA4"/>
    <w:rsid w:val="009E2D29"/>
    <w:rsid w:val="009E38FB"/>
    <w:rsid w:val="009E4F8C"/>
    <w:rsid w:val="009E7BB7"/>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6492"/>
    <w:rsid w:val="00A41B93"/>
    <w:rsid w:val="00A43B61"/>
    <w:rsid w:val="00A45684"/>
    <w:rsid w:val="00A54905"/>
    <w:rsid w:val="00A55EFF"/>
    <w:rsid w:val="00A5785E"/>
    <w:rsid w:val="00A61701"/>
    <w:rsid w:val="00A67DBB"/>
    <w:rsid w:val="00A74E65"/>
    <w:rsid w:val="00A7671D"/>
    <w:rsid w:val="00A76BD4"/>
    <w:rsid w:val="00A81247"/>
    <w:rsid w:val="00A8581D"/>
    <w:rsid w:val="00A85E2A"/>
    <w:rsid w:val="00A86011"/>
    <w:rsid w:val="00A868DE"/>
    <w:rsid w:val="00A91E62"/>
    <w:rsid w:val="00A92C87"/>
    <w:rsid w:val="00A93543"/>
    <w:rsid w:val="00A941D4"/>
    <w:rsid w:val="00A96CC6"/>
    <w:rsid w:val="00AA1C6B"/>
    <w:rsid w:val="00AA2FF0"/>
    <w:rsid w:val="00AA7247"/>
    <w:rsid w:val="00AB15D7"/>
    <w:rsid w:val="00AB297B"/>
    <w:rsid w:val="00AB3972"/>
    <w:rsid w:val="00AB4C4A"/>
    <w:rsid w:val="00AB4DD1"/>
    <w:rsid w:val="00AB5476"/>
    <w:rsid w:val="00AC0A89"/>
    <w:rsid w:val="00AC4270"/>
    <w:rsid w:val="00AC50AF"/>
    <w:rsid w:val="00AC54C9"/>
    <w:rsid w:val="00AC6403"/>
    <w:rsid w:val="00AC6524"/>
    <w:rsid w:val="00AD4788"/>
    <w:rsid w:val="00AD4A21"/>
    <w:rsid w:val="00AD4A84"/>
    <w:rsid w:val="00AD7758"/>
    <w:rsid w:val="00AE2543"/>
    <w:rsid w:val="00AE3290"/>
    <w:rsid w:val="00AE3877"/>
    <w:rsid w:val="00AE4F2D"/>
    <w:rsid w:val="00AF1A29"/>
    <w:rsid w:val="00AF2DA5"/>
    <w:rsid w:val="00B0148A"/>
    <w:rsid w:val="00B0683E"/>
    <w:rsid w:val="00B10364"/>
    <w:rsid w:val="00B13645"/>
    <w:rsid w:val="00B14992"/>
    <w:rsid w:val="00B1792E"/>
    <w:rsid w:val="00B21747"/>
    <w:rsid w:val="00B25233"/>
    <w:rsid w:val="00B252E4"/>
    <w:rsid w:val="00B31D85"/>
    <w:rsid w:val="00B340E0"/>
    <w:rsid w:val="00B365DF"/>
    <w:rsid w:val="00B40B70"/>
    <w:rsid w:val="00B43165"/>
    <w:rsid w:val="00B448B8"/>
    <w:rsid w:val="00B45B52"/>
    <w:rsid w:val="00B474A8"/>
    <w:rsid w:val="00B50BE4"/>
    <w:rsid w:val="00B51706"/>
    <w:rsid w:val="00B53992"/>
    <w:rsid w:val="00B6093A"/>
    <w:rsid w:val="00B610AC"/>
    <w:rsid w:val="00B62181"/>
    <w:rsid w:val="00B632FF"/>
    <w:rsid w:val="00B63C58"/>
    <w:rsid w:val="00B64145"/>
    <w:rsid w:val="00B65855"/>
    <w:rsid w:val="00B673C8"/>
    <w:rsid w:val="00B72526"/>
    <w:rsid w:val="00B73104"/>
    <w:rsid w:val="00B75AC9"/>
    <w:rsid w:val="00B75DC6"/>
    <w:rsid w:val="00B8478A"/>
    <w:rsid w:val="00B86A3C"/>
    <w:rsid w:val="00B92025"/>
    <w:rsid w:val="00B925F6"/>
    <w:rsid w:val="00B92710"/>
    <w:rsid w:val="00B97B8C"/>
    <w:rsid w:val="00BA234D"/>
    <w:rsid w:val="00BA71B6"/>
    <w:rsid w:val="00BA7E3C"/>
    <w:rsid w:val="00BB0738"/>
    <w:rsid w:val="00BB2F10"/>
    <w:rsid w:val="00BB5F2E"/>
    <w:rsid w:val="00BB618E"/>
    <w:rsid w:val="00BC1EB0"/>
    <w:rsid w:val="00BC3337"/>
    <w:rsid w:val="00BC6378"/>
    <w:rsid w:val="00BD43BE"/>
    <w:rsid w:val="00BE067D"/>
    <w:rsid w:val="00BE0F33"/>
    <w:rsid w:val="00BE158B"/>
    <w:rsid w:val="00BE3010"/>
    <w:rsid w:val="00BE48FD"/>
    <w:rsid w:val="00BE4AA7"/>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61CD"/>
    <w:rsid w:val="00C40AE8"/>
    <w:rsid w:val="00C45DBD"/>
    <w:rsid w:val="00C50385"/>
    <w:rsid w:val="00C55114"/>
    <w:rsid w:val="00C55174"/>
    <w:rsid w:val="00C55691"/>
    <w:rsid w:val="00C57853"/>
    <w:rsid w:val="00C623CD"/>
    <w:rsid w:val="00C644E9"/>
    <w:rsid w:val="00C6459D"/>
    <w:rsid w:val="00C646D6"/>
    <w:rsid w:val="00C66E5D"/>
    <w:rsid w:val="00C67D3A"/>
    <w:rsid w:val="00C73B98"/>
    <w:rsid w:val="00C74F30"/>
    <w:rsid w:val="00C80C83"/>
    <w:rsid w:val="00C82DA1"/>
    <w:rsid w:val="00C86524"/>
    <w:rsid w:val="00C90B3E"/>
    <w:rsid w:val="00C93852"/>
    <w:rsid w:val="00C95B97"/>
    <w:rsid w:val="00C95E3D"/>
    <w:rsid w:val="00C96241"/>
    <w:rsid w:val="00C96F8A"/>
    <w:rsid w:val="00CA4600"/>
    <w:rsid w:val="00CA6379"/>
    <w:rsid w:val="00CA6C88"/>
    <w:rsid w:val="00CB140E"/>
    <w:rsid w:val="00CB5FCF"/>
    <w:rsid w:val="00CB66F6"/>
    <w:rsid w:val="00CB7633"/>
    <w:rsid w:val="00CC3A97"/>
    <w:rsid w:val="00CC4467"/>
    <w:rsid w:val="00CC4721"/>
    <w:rsid w:val="00CD02E1"/>
    <w:rsid w:val="00CD0BA1"/>
    <w:rsid w:val="00CD1A05"/>
    <w:rsid w:val="00CD2395"/>
    <w:rsid w:val="00CD26C3"/>
    <w:rsid w:val="00CD5051"/>
    <w:rsid w:val="00CD7675"/>
    <w:rsid w:val="00CD7A20"/>
    <w:rsid w:val="00CE2134"/>
    <w:rsid w:val="00CE42A9"/>
    <w:rsid w:val="00CE67CC"/>
    <w:rsid w:val="00CF2169"/>
    <w:rsid w:val="00CF3488"/>
    <w:rsid w:val="00CF67F2"/>
    <w:rsid w:val="00D02992"/>
    <w:rsid w:val="00D1012C"/>
    <w:rsid w:val="00D14E8A"/>
    <w:rsid w:val="00D14F9A"/>
    <w:rsid w:val="00D151F3"/>
    <w:rsid w:val="00D21871"/>
    <w:rsid w:val="00D27521"/>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66CF9"/>
    <w:rsid w:val="00D7023A"/>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2253"/>
    <w:rsid w:val="00D95692"/>
    <w:rsid w:val="00D95E75"/>
    <w:rsid w:val="00DA0B81"/>
    <w:rsid w:val="00DA1C6E"/>
    <w:rsid w:val="00DA22C7"/>
    <w:rsid w:val="00DA3458"/>
    <w:rsid w:val="00DA36EF"/>
    <w:rsid w:val="00DA40B0"/>
    <w:rsid w:val="00DA715B"/>
    <w:rsid w:val="00DA7799"/>
    <w:rsid w:val="00DB133F"/>
    <w:rsid w:val="00DC6AB3"/>
    <w:rsid w:val="00DC7CE5"/>
    <w:rsid w:val="00DD0160"/>
    <w:rsid w:val="00DD156C"/>
    <w:rsid w:val="00DD1C92"/>
    <w:rsid w:val="00DD657F"/>
    <w:rsid w:val="00DF3B79"/>
    <w:rsid w:val="00DF5350"/>
    <w:rsid w:val="00DF5798"/>
    <w:rsid w:val="00E00499"/>
    <w:rsid w:val="00E0197F"/>
    <w:rsid w:val="00E0264A"/>
    <w:rsid w:val="00E02C77"/>
    <w:rsid w:val="00E03A60"/>
    <w:rsid w:val="00E03C6E"/>
    <w:rsid w:val="00E049F3"/>
    <w:rsid w:val="00E07263"/>
    <w:rsid w:val="00E1012B"/>
    <w:rsid w:val="00E12293"/>
    <w:rsid w:val="00E14228"/>
    <w:rsid w:val="00E15221"/>
    <w:rsid w:val="00E157D2"/>
    <w:rsid w:val="00E16796"/>
    <w:rsid w:val="00E178B1"/>
    <w:rsid w:val="00E20C39"/>
    <w:rsid w:val="00E21E7A"/>
    <w:rsid w:val="00E23DC9"/>
    <w:rsid w:val="00E2569B"/>
    <w:rsid w:val="00E25E9C"/>
    <w:rsid w:val="00E3023B"/>
    <w:rsid w:val="00E408C1"/>
    <w:rsid w:val="00E41DB3"/>
    <w:rsid w:val="00E423C4"/>
    <w:rsid w:val="00E4258E"/>
    <w:rsid w:val="00E42B42"/>
    <w:rsid w:val="00E42C0E"/>
    <w:rsid w:val="00E4349D"/>
    <w:rsid w:val="00E43B8C"/>
    <w:rsid w:val="00E43FCB"/>
    <w:rsid w:val="00E50482"/>
    <w:rsid w:val="00E51F78"/>
    <w:rsid w:val="00E522C4"/>
    <w:rsid w:val="00E53D73"/>
    <w:rsid w:val="00E56A94"/>
    <w:rsid w:val="00E62BCD"/>
    <w:rsid w:val="00E703C1"/>
    <w:rsid w:val="00E720F3"/>
    <w:rsid w:val="00E73A55"/>
    <w:rsid w:val="00E747FA"/>
    <w:rsid w:val="00E74FDA"/>
    <w:rsid w:val="00E765CB"/>
    <w:rsid w:val="00E81876"/>
    <w:rsid w:val="00E834DA"/>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7299"/>
    <w:rsid w:val="00EC7997"/>
    <w:rsid w:val="00ED04F8"/>
    <w:rsid w:val="00ED0596"/>
    <w:rsid w:val="00ED1F56"/>
    <w:rsid w:val="00ED4758"/>
    <w:rsid w:val="00ED6E03"/>
    <w:rsid w:val="00EE4157"/>
    <w:rsid w:val="00EE5E76"/>
    <w:rsid w:val="00EE7185"/>
    <w:rsid w:val="00EE7FBF"/>
    <w:rsid w:val="00EF1894"/>
    <w:rsid w:val="00EF1A6E"/>
    <w:rsid w:val="00EF3099"/>
    <w:rsid w:val="00EF4AB7"/>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308C1"/>
    <w:rsid w:val="00F40962"/>
    <w:rsid w:val="00F42A67"/>
    <w:rsid w:val="00F47C64"/>
    <w:rsid w:val="00F54FA6"/>
    <w:rsid w:val="00F569C1"/>
    <w:rsid w:val="00F60578"/>
    <w:rsid w:val="00F63133"/>
    <w:rsid w:val="00F63905"/>
    <w:rsid w:val="00F64DCA"/>
    <w:rsid w:val="00F672F9"/>
    <w:rsid w:val="00F70401"/>
    <w:rsid w:val="00F70420"/>
    <w:rsid w:val="00F74FC7"/>
    <w:rsid w:val="00F80629"/>
    <w:rsid w:val="00F82C1C"/>
    <w:rsid w:val="00F82FAA"/>
    <w:rsid w:val="00F86226"/>
    <w:rsid w:val="00F938EE"/>
    <w:rsid w:val="00F94068"/>
    <w:rsid w:val="00FA1808"/>
    <w:rsid w:val="00FA5261"/>
    <w:rsid w:val="00FA7FE7"/>
    <w:rsid w:val="00FB0392"/>
    <w:rsid w:val="00FB03C3"/>
    <w:rsid w:val="00FB10E3"/>
    <w:rsid w:val="00FB195F"/>
    <w:rsid w:val="00FB6B19"/>
    <w:rsid w:val="00FC0821"/>
    <w:rsid w:val="00FC1D0B"/>
    <w:rsid w:val="00FC2877"/>
    <w:rsid w:val="00FC4143"/>
    <w:rsid w:val="00FC5711"/>
    <w:rsid w:val="00FC60EA"/>
    <w:rsid w:val="00FC64C0"/>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B621"/>
  <w15:docId w15:val="{A26CB5E2-9433-49A0-A1D2-1109DBDB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uiPriority w:val="39"/>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C57853"/>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C57853"/>
    <w:rPr>
      <w:rFonts w:ascii="Arial" w:hAnsi="Arial" w:cs="Arial"/>
      <w:b/>
      <w:bCs/>
      <w:sz w:val="22"/>
      <w:szCs w:val="22"/>
    </w:rPr>
  </w:style>
  <w:style w:type="paragraph" w:customStyle="1" w:styleId="NormaleRIENTRO">
    <w:name w:val="Normale RIENTRO"/>
    <w:rsid w:val="00C57853"/>
    <w:pPr>
      <w:spacing w:after="0" w:line="230" w:lineRule="exact"/>
      <w:ind w:firstLine="453"/>
      <w:jc w:val="both"/>
    </w:pPr>
    <w:rPr>
      <w:rFonts w:ascii="Helvetica" w:eastAsia="Helvetica" w:hAnsi="Helvetic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entrale.committenza.soggetto.aggregatore@cert.regione.basilicat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6AAED-D007-44BD-BAE9-BCAA5B4D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3729</Words>
  <Characters>21259</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Telesca Vincenzo</cp:lastModifiedBy>
  <cp:revision>11</cp:revision>
  <cp:lastPrinted>2017-12-04T10:44:00Z</cp:lastPrinted>
  <dcterms:created xsi:type="dcterms:W3CDTF">2018-07-30T11:01:00Z</dcterms:created>
  <dcterms:modified xsi:type="dcterms:W3CDTF">2019-12-18T10:02:00Z</dcterms:modified>
</cp:coreProperties>
</file>