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93350D" w:rsidRDefault="00504669" w:rsidP="00C21DC8">
      <w:pPr>
        <w:jc w:val="right"/>
        <w:rPr>
          <w:rFonts w:ascii="Palatino Linotype" w:hAnsi="Palatino Linotype"/>
          <w:b/>
          <w:u w:val="single"/>
        </w:rPr>
      </w:pPr>
      <w:r>
        <w:rPr>
          <w:rFonts w:ascii="Palatino Linotype" w:hAnsi="Palatino Linotype"/>
          <w:b/>
          <w:u w:val="single"/>
        </w:rPr>
        <w:t>ELABORAT</w:t>
      </w:r>
      <w:r w:rsidR="00D54917">
        <w:rPr>
          <w:rFonts w:ascii="Palatino Linotype" w:hAnsi="Palatino Linotype"/>
          <w:b/>
          <w:u w:val="single"/>
        </w:rPr>
        <w:t xml:space="preserve">O </w:t>
      </w:r>
      <w:r w:rsidR="000B0093">
        <w:rPr>
          <w:rFonts w:ascii="Palatino Linotype" w:hAnsi="Palatino Linotype"/>
          <w:b/>
          <w:u w:val="single"/>
        </w:rPr>
        <w:t>L</w:t>
      </w:r>
    </w:p>
    <w:p w14:paraId="4E5071E8" w14:textId="77777777" w:rsidR="00C21DC8" w:rsidRDefault="00C21DC8" w:rsidP="00C21DC8">
      <w:pPr>
        <w:jc w:val="center"/>
        <w:rPr>
          <w:rFonts w:ascii="Palatino Linotype" w:hAnsi="Palatino Linotype"/>
        </w:rPr>
      </w:pPr>
    </w:p>
    <w:p w14:paraId="7F2EACD7" w14:textId="77777777" w:rsidR="00C21DC8" w:rsidRDefault="00C21DC8" w:rsidP="00C21DC8">
      <w:pPr>
        <w:jc w:val="center"/>
        <w:rPr>
          <w:rFonts w:ascii="Palatino Linotype" w:hAnsi="Palatino Linotype"/>
        </w:rPr>
      </w:pPr>
    </w:p>
    <w:p w14:paraId="1231DFBE" w14:textId="77777777" w:rsidR="00C21DC8" w:rsidRDefault="00C21DC8" w:rsidP="00C21DC8">
      <w:pPr>
        <w:jc w:val="center"/>
        <w:rPr>
          <w:rFonts w:ascii="Palatino Linotype" w:hAnsi="Palatino Linotype"/>
        </w:rPr>
      </w:pPr>
    </w:p>
    <w:p w14:paraId="1E613F63" w14:textId="77777777" w:rsidR="00C21DC8" w:rsidRDefault="00C21DC8" w:rsidP="00C21DC8">
      <w:pPr>
        <w:jc w:val="center"/>
        <w:rPr>
          <w:rFonts w:ascii="Palatino Linotype" w:hAnsi="Palatino Linotype"/>
        </w:rPr>
      </w:pPr>
    </w:p>
    <w:p w14:paraId="5F17ED52" w14:textId="77777777" w:rsidR="00EC22D4" w:rsidRPr="00906903" w:rsidRDefault="00EC22D4" w:rsidP="00EC22D4">
      <w:pPr>
        <w:jc w:val="center"/>
        <w:rPr>
          <w:rFonts w:ascii="Palatino Linotype" w:hAnsi="Palatino Linotype"/>
          <w:b/>
        </w:rPr>
      </w:pPr>
      <w:r>
        <w:rPr>
          <w:rFonts w:ascii="Palatino Linotype" w:hAnsi="Palatino Linotype"/>
          <w:b/>
        </w:rPr>
        <w:t>PATTO DI INTEGRITA’</w:t>
      </w:r>
    </w:p>
    <w:p w14:paraId="61052590" w14:textId="77777777" w:rsidR="00D54917" w:rsidRPr="00E050BF" w:rsidRDefault="00D54917" w:rsidP="00D54917">
      <w:pPr>
        <w:jc w:val="both"/>
        <w:rPr>
          <w:rFonts w:ascii="Palatino Linotype" w:hAnsi="Palatino Linotype" w:cs="Arial"/>
        </w:rPr>
      </w:pPr>
    </w:p>
    <w:p w14:paraId="33040932" w14:textId="77777777" w:rsidR="00C21DC8" w:rsidRPr="00B7471E" w:rsidRDefault="00C21DC8" w:rsidP="00C21DC8">
      <w:pPr>
        <w:jc w:val="center"/>
        <w:rPr>
          <w:rFonts w:ascii="Palatino Linotype" w:hAnsi="Palatino Linotype"/>
          <w:b/>
        </w:rPr>
      </w:pPr>
    </w:p>
    <w:p w14:paraId="19E656AC" w14:textId="77777777" w:rsidR="00C21DC8" w:rsidRPr="00B7471E" w:rsidRDefault="00C21DC8" w:rsidP="00C21DC8">
      <w:pPr>
        <w:jc w:val="center"/>
        <w:rPr>
          <w:rFonts w:ascii="Palatino Linotype" w:hAnsi="Palatino Linotype"/>
          <w:b/>
        </w:rPr>
      </w:pPr>
    </w:p>
    <w:p w14:paraId="11840B6B" w14:textId="77777777" w:rsidR="004F6BAD" w:rsidRDefault="004F6BAD" w:rsidP="004F6BAD">
      <w:pPr>
        <w:keepNext/>
        <w:widowControl w:val="0"/>
        <w:jc w:val="center"/>
        <w:rPr>
          <w:rStyle w:val="Enfasigrassetto"/>
          <w:rFonts w:ascii="Palatino Linotype" w:hAnsi="Palatino Linotype" w:cs="Calibri"/>
        </w:rPr>
      </w:pPr>
      <w:bookmarkStart w:id="0" w:name="_Toc428871109"/>
      <w:bookmarkStart w:id="1" w:name="_Toc432084354"/>
      <w:bookmarkStart w:id="2" w:name="_Toc442357320"/>
      <w:r w:rsidRPr="009E5F15">
        <w:rPr>
          <w:rFonts w:ascii="Palatino Linotype" w:hAnsi="Palatino Linotype"/>
          <w:b/>
        </w:rPr>
        <w:t xml:space="preserve">PROCEDURA APERTA PER L’AFFIDAMENTO DEL SERVIZIO </w:t>
      </w:r>
      <w:r w:rsidRPr="009E5F15">
        <w:rPr>
          <w:rStyle w:val="Enfasigrassetto"/>
          <w:rFonts w:ascii="Palatino Linotype" w:hAnsi="Palatino Linotype" w:cs="Calibri"/>
        </w:rPr>
        <w:t xml:space="preserve">DI </w:t>
      </w:r>
    </w:p>
    <w:p w14:paraId="11B6C444" w14:textId="77777777" w:rsidR="004F6BAD" w:rsidRDefault="004F6BAD" w:rsidP="004F6BAD">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SORVEGLIANZA, SICUREZZA E GUARDIA ARMATA DEGLI UFFICI </w:t>
      </w:r>
    </w:p>
    <w:p w14:paraId="2B94279E" w14:textId="77777777" w:rsidR="004F6BAD" w:rsidRDefault="004F6BAD" w:rsidP="004F6BAD">
      <w:pPr>
        <w:keepNext/>
        <w:widowControl w:val="0"/>
        <w:jc w:val="center"/>
        <w:rPr>
          <w:rStyle w:val="Enfasigrassetto"/>
          <w:rFonts w:ascii="Palatino Linotype" w:hAnsi="Palatino Linotype" w:cs="Calibri"/>
        </w:rPr>
      </w:pPr>
      <w:r>
        <w:rPr>
          <w:rStyle w:val="Enfasigrassetto"/>
          <w:rFonts w:ascii="Palatino Linotype" w:hAnsi="Palatino Linotype" w:cs="Calibri"/>
        </w:rPr>
        <w:t>REGIONALI SITI ALLA VIA A.M. DI FRANCIA DI MATERA</w:t>
      </w:r>
    </w:p>
    <w:p w14:paraId="6DC093BD" w14:textId="77777777" w:rsidR="004F6BAD" w:rsidRDefault="004F6BAD" w:rsidP="004F6BAD">
      <w:pPr>
        <w:keepNext/>
        <w:widowControl w:val="0"/>
        <w:jc w:val="center"/>
        <w:rPr>
          <w:rFonts w:ascii="Palatino Linotype" w:hAnsi="Palatino Linotype"/>
          <w:sz w:val="20"/>
          <w:szCs w:val="20"/>
        </w:rPr>
      </w:pPr>
    </w:p>
    <w:p w14:paraId="2795CCA4" w14:textId="77777777" w:rsidR="00467091" w:rsidRPr="003D4042" w:rsidRDefault="00467091" w:rsidP="00467091">
      <w:pPr>
        <w:keepNext/>
        <w:widowControl w:val="0"/>
        <w:jc w:val="center"/>
        <w:rPr>
          <w:rFonts w:ascii="Palatino Linotype" w:hAnsi="Palatino Linotype"/>
          <w:b/>
        </w:rPr>
      </w:pPr>
      <w:r w:rsidRPr="003D4042">
        <w:rPr>
          <w:rFonts w:ascii="Palatino Linotype" w:hAnsi="Palatino Linotype"/>
          <w:b/>
        </w:rPr>
        <w:t xml:space="preserve">CIG: </w:t>
      </w:r>
      <w:r w:rsidRPr="003D4042">
        <w:rPr>
          <w:rFonts w:ascii="Palatino Linotype" w:hAnsi="Palatino Linotype"/>
          <w:b/>
          <w:bCs/>
        </w:rPr>
        <w:t>7216911F58</w:t>
      </w:r>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bookmarkStart w:id="3" w:name="_GoBack"/>
      <w:bookmarkEnd w:id="3"/>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7F0B8715" w14:textId="77777777" w:rsidR="00EC22D4" w:rsidRPr="00D35D64" w:rsidRDefault="00EC22D4" w:rsidP="00EC22D4">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lastRenderedPageBreak/>
        <w:t>Premessa</w:t>
      </w:r>
    </w:p>
    <w:p w14:paraId="784A2ECF" w14:textId="77777777" w:rsidR="00EC22D4" w:rsidRPr="00D35D64" w:rsidRDefault="00EC22D4" w:rsidP="00EC22D4">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Questo documento deve essere obbligatoriamente </w:t>
      </w:r>
      <w:r>
        <w:rPr>
          <w:rFonts w:ascii="Palatino Linotype" w:eastAsia="SimSun" w:hAnsi="Palatino Linotype" w:cs="Arial"/>
          <w:kern w:val="1"/>
          <w:sz w:val="20"/>
          <w:szCs w:val="20"/>
          <w:lang w:eastAsia="ar-SA"/>
        </w:rPr>
        <w:t xml:space="preserve">siglato su ogni pagina, </w:t>
      </w:r>
      <w:r w:rsidRPr="00D35D64">
        <w:rPr>
          <w:rFonts w:ascii="Palatino Linotype" w:eastAsia="SimSun" w:hAnsi="Palatino Linotype" w:cs="Arial"/>
          <w:kern w:val="1"/>
          <w:sz w:val="20"/>
          <w:szCs w:val="20"/>
          <w:lang w:eastAsia="ar-SA"/>
        </w:rPr>
        <w:t>sottoscritto e inserito nella Busta A “Documentazione Amministrativa” da ciascun partecipante alla procedura di gara.</w:t>
      </w:r>
    </w:p>
    <w:p w14:paraId="50F2A79F" w14:textId="77777777" w:rsidR="00EC22D4" w:rsidRPr="00D35D64" w:rsidRDefault="00EC22D4" w:rsidP="00EC22D4">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Tale sottoscrizione deve essere apposta mediante firma, </w:t>
      </w:r>
      <w:r w:rsidRPr="00D35D64">
        <w:rPr>
          <w:rFonts w:ascii="Palatino Linotype" w:eastAsia="SimSun" w:hAnsi="Palatino Linotype" w:cs="Arial"/>
          <w:kern w:val="1"/>
          <w:sz w:val="20"/>
          <w:szCs w:val="20"/>
          <w:lang w:eastAsia="en-US"/>
        </w:rPr>
        <w:t xml:space="preserve">per accettazione, </w:t>
      </w:r>
      <w:r w:rsidRPr="00D35D64">
        <w:rPr>
          <w:rFonts w:ascii="Palatino Linotype" w:eastAsia="SimSun" w:hAnsi="Palatino Linotype" w:cs="Arial"/>
          <w:kern w:val="1"/>
          <w:sz w:val="20"/>
          <w:szCs w:val="20"/>
          <w:lang w:eastAsia="ar-SA"/>
        </w:rPr>
        <w:t>da parte del legale rappresentante o da altro soggetto avente i poteri necessari per impegnare l’impresa.</w:t>
      </w:r>
    </w:p>
    <w:p w14:paraId="0815524F" w14:textId="77777777" w:rsidR="00EC22D4" w:rsidRPr="00D35D64" w:rsidRDefault="00EC22D4" w:rsidP="00EC22D4">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Questo documento costituisce parte integrante della procedura di gara e dei relativi contratti. </w:t>
      </w:r>
    </w:p>
    <w:p w14:paraId="3503687B" w14:textId="77777777" w:rsidR="00EC22D4" w:rsidRPr="00D35D64" w:rsidRDefault="00EC22D4" w:rsidP="00EC22D4">
      <w:pPr>
        <w:jc w:val="center"/>
        <w:rPr>
          <w:rFonts w:ascii="Palatino Linotype" w:eastAsia="SimSun" w:hAnsi="Palatino Linotype" w:cs="Arial"/>
          <w:b/>
          <w:kern w:val="1"/>
          <w:sz w:val="20"/>
          <w:szCs w:val="20"/>
          <w:lang w:eastAsia="ar-SA"/>
        </w:rPr>
      </w:pPr>
    </w:p>
    <w:p w14:paraId="5ECC10F8" w14:textId="77777777" w:rsidR="00EC22D4" w:rsidRPr="00D35D64" w:rsidRDefault="00EC22D4" w:rsidP="00EC22D4">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1</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Ambito di applicazione</w:t>
      </w:r>
    </w:p>
    <w:p w14:paraId="55B3F593" w14:textId="77777777" w:rsidR="00EC22D4" w:rsidRPr="00D35D64" w:rsidRDefault="00EC22D4" w:rsidP="00EC22D4">
      <w:pPr>
        <w:numPr>
          <w:ilvl w:val="0"/>
          <w:numId w:val="1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Il Patto di integrità è lo strumento che la Regione Basilicata adotta al fine di disciplinare i comportamenti degli operatori economici e del personale sia interno che esterno alla Regione Basilicata nell’ambito delle procedure di affidamento e gestione degli appalti di lavori, servizi e forniture di cui al </w:t>
      </w:r>
      <w:proofErr w:type="spellStart"/>
      <w:r w:rsidRPr="00D35D64">
        <w:rPr>
          <w:rFonts w:ascii="Palatino Linotype" w:eastAsia="SimSun" w:hAnsi="Palatino Linotype" w:cs="Arial"/>
          <w:kern w:val="1"/>
          <w:sz w:val="20"/>
          <w:szCs w:val="20"/>
          <w:lang w:eastAsia="ar-SA"/>
        </w:rPr>
        <w:t>D.Lgs.</w:t>
      </w:r>
      <w:proofErr w:type="spellEnd"/>
      <w:r w:rsidRPr="00D35D64">
        <w:rPr>
          <w:rFonts w:ascii="Palatino Linotype" w:eastAsia="SimSun" w:hAnsi="Palatino Linotype" w:cs="Arial"/>
          <w:kern w:val="1"/>
          <w:sz w:val="20"/>
          <w:szCs w:val="20"/>
          <w:lang w:eastAsia="ar-SA"/>
        </w:rPr>
        <w:t xml:space="preserve"> 50/2016.</w:t>
      </w:r>
    </w:p>
    <w:p w14:paraId="73E0EF6D" w14:textId="77777777" w:rsidR="00EC22D4" w:rsidRPr="00D35D64" w:rsidRDefault="00EC22D4" w:rsidP="00EC22D4">
      <w:pPr>
        <w:numPr>
          <w:ilvl w:val="0"/>
          <w:numId w:val="1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patto di integrità stabilisce l’obbligo reciproco che si instaura tra le Amministrazioni aggiudicatrici e gli operatori economici di improntare i propri comportamenti ai principi di trasparenza e integrità.</w:t>
      </w:r>
    </w:p>
    <w:p w14:paraId="174E1F70" w14:textId="77777777" w:rsidR="00EC22D4" w:rsidRPr="00D35D64" w:rsidRDefault="00EC22D4" w:rsidP="00EC22D4">
      <w:pPr>
        <w:numPr>
          <w:ilvl w:val="0"/>
          <w:numId w:val="1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Patto di integrità deve costituire parte integrante della documentazione di gara e del successivo contratto.</w:t>
      </w:r>
    </w:p>
    <w:p w14:paraId="2B18C276" w14:textId="77777777" w:rsidR="00EC22D4" w:rsidRPr="00D35D64" w:rsidRDefault="00EC22D4" w:rsidP="00EC22D4">
      <w:pPr>
        <w:numPr>
          <w:ilvl w:val="0"/>
          <w:numId w:val="1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Il Patto di integrità si applica con le medesime modalità anche ai contratti di subappalto di cui all’articolo 105 del </w:t>
      </w:r>
      <w:proofErr w:type="spellStart"/>
      <w:r w:rsidRPr="00D35D64">
        <w:rPr>
          <w:rFonts w:ascii="Palatino Linotype" w:eastAsia="SimSun" w:hAnsi="Palatino Linotype" w:cs="Arial"/>
          <w:kern w:val="1"/>
          <w:sz w:val="20"/>
          <w:szCs w:val="20"/>
          <w:lang w:eastAsia="ar-SA"/>
        </w:rPr>
        <w:t>D.Lgs.</w:t>
      </w:r>
      <w:proofErr w:type="spellEnd"/>
      <w:r w:rsidRPr="00D35D64">
        <w:rPr>
          <w:rFonts w:ascii="Palatino Linotype" w:eastAsia="SimSun" w:hAnsi="Palatino Linotype" w:cs="Arial"/>
          <w:kern w:val="1"/>
          <w:sz w:val="20"/>
          <w:szCs w:val="20"/>
          <w:lang w:eastAsia="ar-SA"/>
        </w:rPr>
        <w:t xml:space="preserve"> 50/2016.</w:t>
      </w:r>
    </w:p>
    <w:p w14:paraId="6FE8FA3D" w14:textId="77777777" w:rsidR="00EC22D4" w:rsidRPr="00D35D64" w:rsidRDefault="00EC22D4" w:rsidP="00EC22D4">
      <w:pPr>
        <w:numPr>
          <w:ilvl w:val="0"/>
          <w:numId w:val="10"/>
        </w:numPr>
        <w:tabs>
          <w:tab w:val="num"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Per quanto non disciplinato dal presente Patto si rinvia al Codice di comportamento del personale della Regione Basilicata, degli Enti, delle Agenzie e delle Società partecipate al rispetto del quale sono tenuti i collaboratori a qualsiasi titolo di imprese fornitrici di beni o servizi e che realizzano opere in favore dell’Amministrazione.</w:t>
      </w:r>
    </w:p>
    <w:p w14:paraId="57D4DA0A" w14:textId="77777777" w:rsidR="00EC22D4" w:rsidRPr="00D35D64" w:rsidRDefault="00EC22D4" w:rsidP="00EC22D4">
      <w:pPr>
        <w:ind w:left="720"/>
        <w:jc w:val="both"/>
        <w:rPr>
          <w:rFonts w:ascii="Palatino Linotype" w:eastAsia="SimSun" w:hAnsi="Palatino Linotype" w:cs="Arial"/>
          <w:kern w:val="1"/>
          <w:sz w:val="20"/>
          <w:szCs w:val="20"/>
          <w:lang w:eastAsia="ar-SA"/>
        </w:rPr>
      </w:pPr>
    </w:p>
    <w:p w14:paraId="1BBD906B" w14:textId="77777777" w:rsidR="00EC22D4" w:rsidRPr="00D35D64" w:rsidRDefault="00EC22D4" w:rsidP="00EC22D4">
      <w:pPr>
        <w:ind w:left="851" w:hanging="851"/>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2</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Obblighi degli operatori economici nei confronti della stazione appaltante</w:t>
      </w:r>
    </w:p>
    <w:p w14:paraId="525A2A18" w14:textId="77777777" w:rsidR="00EC22D4" w:rsidRPr="00D35D64" w:rsidRDefault="00EC22D4" w:rsidP="00EC22D4">
      <w:pPr>
        <w:numPr>
          <w:ilvl w:val="0"/>
          <w:numId w:val="11"/>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w:t>
      </w:r>
    </w:p>
    <w:p w14:paraId="680DB0A9"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dichiara</w:t>
      </w:r>
      <w:proofErr w:type="gramEnd"/>
      <w:r w:rsidRPr="00D35D64">
        <w:rPr>
          <w:rFonts w:ascii="Palatino Linotype" w:eastAsia="SimSun" w:hAnsi="Palatino Linotype" w:cs="Arial"/>
          <w:kern w:val="1"/>
          <w:sz w:val="20"/>
          <w:szCs w:val="20"/>
          <w:lang w:eastAsia="ar-SA"/>
        </w:rPr>
        <w:t xml:space="preserve"> di non aver fatto ricorso e si obbliga a non ricorrere ad alcuna mediazione o altra opera di terzi finalizzata all’aggiudicazione e/o gestione del contratto;</w:t>
      </w:r>
    </w:p>
    <w:p w14:paraId="703F2A58"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dichiara</w:t>
      </w:r>
      <w:proofErr w:type="gramEnd"/>
      <w:r w:rsidRPr="00D35D64">
        <w:rPr>
          <w:rFonts w:ascii="Palatino Linotype" w:eastAsia="SimSun" w:hAnsi="Palatino Linotype" w:cs="Arial"/>
          <w:kern w:val="1"/>
          <w:sz w:val="20"/>
          <w:szCs w:val="20"/>
          <w:lang w:eastAsia="ar-SA"/>
        </w:rPr>
        <w:t xml:space="preserve"> di non avere condizionato, e si impegna a non condizionare, il procedimento amministrativo con azioni dirette a influenzare il contenuto del bando o altro atto equipollente al fine di condizionare le modalità di scelta del contraente;</w:t>
      </w:r>
    </w:p>
    <w:p w14:paraId="424861D6"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dichiara</w:t>
      </w:r>
      <w:proofErr w:type="gramEnd"/>
      <w:r w:rsidRPr="00D35D64">
        <w:rPr>
          <w:rFonts w:ascii="Palatino Linotype" w:eastAsia="SimSun" w:hAnsi="Palatino Linotype" w:cs="Arial"/>
          <w:kern w:val="1"/>
          <w:sz w:val="20"/>
          <w:szCs w:val="20"/>
          <w:lang w:eastAsia="ar-SA"/>
        </w:rPr>
        <w:t xml:space="preserve"> di non aver corrisposto, né promesso di corrispondere, e si impegna a non corrispondere né promettere di corrispondere ad alcuno, direttamente o tramite terzi, ivi compresi soggetti collegati o controllati, somme di danaro o altre utilità finalizzate all’aggiudicazione o a facilitare la gestione del contratto;</w:t>
      </w:r>
    </w:p>
    <w:p w14:paraId="6DDE2FEC"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287/1990; dichiara altresì che l’offerta è stata predisposta nel pieno rispetto della predetta normativa;</w:t>
      </w:r>
    </w:p>
    <w:p w14:paraId="7FE16120"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a segnalare all’Amministrazione aggiudicatrice qualsiasi tentativo illecito da parte di terzi di turbare o distorcere le fasi della procedura di affidamento e dell’esecuzione del contratto;</w:t>
      </w:r>
    </w:p>
    <w:p w14:paraId="0457F427"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a segnalare all’Amministrazione aggiudicatrice qualsiasi richiesta illecita o pretesa da parte di dipendenti dell’Amministrazione o di chiunque possa influenzare le decisioni relative alla procedura di affidamento o di esecuzione del contratto con le modalità e gli strumenti messi a disposizione dalla Regione Basilicata;</w:t>
      </w:r>
    </w:p>
    <w:p w14:paraId="3D3E2275" w14:textId="77777777" w:rsidR="00EC22D4" w:rsidRPr="00D35D64" w:rsidRDefault="00EC22D4" w:rsidP="00EC22D4">
      <w:pPr>
        <w:numPr>
          <w:ilvl w:val="0"/>
          <w:numId w:val="7"/>
        </w:numPr>
        <w:tabs>
          <w:tab w:val="num"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qualora i fatti di cui ai precedenti punti e) ed f) costituiscano reato, a sporgere denuncia all’Autorità Giudiziaria o alla polizia giudiziaria.</w:t>
      </w:r>
    </w:p>
    <w:p w14:paraId="13BCB561" w14:textId="77777777" w:rsidR="00EC22D4" w:rsidRPr="00D35D64" w:rsidRDefault="00EC22D4" w:rsidP="00EC22D4">
      <w:pPr>
        <w:numPr>
          <w:ilvl w:val="0"/>
          <w:numId w:val="11"/>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lastRenderedPageBreak/>
        <w:t>L’operatore economico aggiudicatario si impegna ad adempiere con la dovuta diligenza alla corretta esecuzione del contratto.</w:t>
      </w:r>
    </w:p>
    <w:p w14:paraId="4986F9AB" w14:textId="77777777" w:rsidR="00EC22D4" w:rsidRPr="00D35D64" w:rsidRDefault="00EC22D4" w:rsidP="00EC22D4">
      <w:pPr>
        <w:jc w:val="center"/>
        <w:rPr>
          <w:rFonts w:ascii="Palatino Linotype" w:eastAsia="SimSun" w:hAnsi="Palatino Linotype" w:cs="Arial"/>
          <w:b/>
          <w:kern w:val="1"/>
          <w:sz w:val="20"/>
          <w:szCs w:val="20"/>
          <w:lang w:eastAsia="ar-SA"/>
        </w:rPr>
      </w:pPr>
    </w:p>
    <w:p w14:paraId="5A24EE22" w14:textId="77777777" w:rsidR="00EC22D4" w:rsidRPr="00856852" w:rsidRDefault="00EC22D4" w:rsidP="00EC22D4">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3</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Obblighi dell’Amministrazione aggiudicatrice</w:t>
      </w:r>
    </w:p>
    <w:p w14:paraId="55D08676" w14:textId="77777777" w:rsidR="00EC22D4" w:rsidRPr="00D35D64" w:rsidRDefault="00EC22D4" w:rsidP="00EC22D4">
      <w:pPr>
        <w:numPr>
          <w:ilvl w:val="0"/>
          <w:numId w:val="9"/>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 (Stazione Unica Appaltante della Regione Basilicata):</w:t>
      </w:r>
    </w:p>
    <w:p w14:paraId="3BC33D3A"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obbliga a rispettare i principi di trasparenza e integrità già disciplinati dal Codice di comportamento del personale della Regione Basilicata, degli Enti, delle Agenzie e delle Società partecipate nonché le misure di prevenzione della corruzione inserite nel Piano triennale di prevenzione vigente;</w:t>
      </w:r>
    </w:p>
    <w:p w14:paraId="4C10A42D"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obbliga a non influenzare il procedimento amministrativo diretto a definire il contenuto del bando o altro atto equipollente, al fine di condizionare le modalità di scelta del contraente;</w:t>
      </w:r>
    </w:p>
    <w:p w14:paraId="35771E7A"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obbliga a non richiedere, a non accettare ed a non ricevere direttamente o tramite terzi, somme di danaro o altre utilità finalizzate a favorire la scelta di un determinato operatore economico;</w:t>
      </w:r>
    </w:p>
    <w:p w14:paraId="35D8F6C7"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obbliga a non richiedere, a non accettare ed a non ricevere direttamente o tramite terzi, somme di danaro o altre utilità finalizzate a influenzare in maniera distorsiva la corretta gestione del contratto;</w:t>
      </w:r>
    </w:p>
    <w:p w14:paraId="5F7FFC92"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a segnalare al proprio Responsabile per la prevenzione della corruzione qualsiasi tentativo illecito da parte di terzi di turbare o distorcere le fasi di svolgimento delle procedure di affidamento e/o l’esecuzione del contratto, con le modalità e gli strumenti messi a disposizione dalla Regione Basilicata.</w:t>
      </w:r>
    </w:p>
    <w:p w14:paraId="4C09436E"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a segnalare al proprio Responsabile per la prevenzione della corruzione qualsiasi richiesta illecita o pretesa da parte di operatori economici o di chiunque possa influenzare le decisioni relative alla procedura di affidamento o di esecuzione del contratto, con le modalità e gli strumenti messi a disposizione dalla Regione Basilicata.</w:t>
      </w:r>
    </w:p>
    <w:p w14:paraId="1A6CBD5D"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qualora i fatti di cui ai precedenti punti e) ed f) costituiscano reato, a sporgere denuncia all’autorità giudiziaria o alla polizia giudiziaria.</w:t>
      </w:r>
    </w:p>
    <w:p w14:paraId="58A94990"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si</w:t>
      </w:r>
      <w:proofErr w:type="gramEnd"/>
      <w:r w:rsidRPr="00D35D64">
        <w:rPr>
          <w:rFonts w:ascii="Palatino Linotype" w:eastAsia="SimSun" w:hAnsi="Palatino Linotype" w:cs="Arial"/>
          <w:kern w:val="1"/>
          <w:sz w:val="20"/>
          <w:szCs w:val="20"/>
          <w:lang w:eastAsia="ar-SA"/>
        </w:rPr>
        <w:t xml:space="preserve"> impegna all’atto della nomina dei componenti della commissione di gara a rispettare le norme in materia di incompatibilità e </w:t>
      </w:r>
      <w:proofErr w:type="spellStart"/>
      <w:r w:rsidRPr="00D35D64">
        <w:rPr>
          <w:rFonts w:ascii="Palatino Linotype" w:eastAsia="SimSun" w:hAnsi="Palatino Linotype" w:cs="Arial"/>
          <w:kern w:val="1"/>
          <w:sz w:val="20"/>
          <w:szCs w:val="20"/>
          <w:lang w:eastAsia="ar-SA"/>
        </w:rPr>
        <w:t>inconferibilità</w:t>
      </w:r>
      <w:proofErr w:type="spellEnd"/>
      <w:r w:rsidRPr="00D35D64">
        <w:rPr>
          <w:rFonts w:ascii="Palatino Linotype" w:eastAsia="SimSun" w:hAnsi="Palatino Linotype" w:cs="Arial"/>
          <w:kern w:val="1"/>
          <w:sz w:val="20"/>
          <w:szCs w:val="20"/>
          <w:lang w:eastAsia="ar-SA"/>
        </w:rPr>
        <w:t xml:space="preserve"> di incarichi di cui al D. </w:t>
      </w:r>
      <w:proofErr w:type="spellStart"/>
      <w:r w:rsidRPr="00D35D64">
        <w:rPr>
          <w:rFonts w:ascii="Palatino Linotype" w:eastAsia="SimSun" w:hAnsi="Palatino Linotype" w:cs="Arial"/>
          <w:kern w:val="1"/>
          <w:sz w:val="20"/>
          <w:szCs w:val="20"/>
          <w:lang w:eastAsia="ar-SA"/>
        </w:rPr>
        <w:t>Lgs</w:t>
      </w:r>
      <w:proofErr w:type="spellEnd"/>
      <w:r w:rsidRPr="00D35D64">
        <w:rPr>
          <w:rFonts w:ascii="Palatino Linotype" w:eastAsia="SimSun" w:hAnsi="Palatino Linotype" w:cs="Arial"/>
          <w:kern w:val="1"/>
          <w:sz w:val="20"/>
          <w:szCs w:val="20"/>
          <w:lang w:eastAsia="ar-SA"/>
        </w:rPr>
        <w:t>. n. 39/2013;</w:t>
      </w:r>
    </w:p>
    <w:p w14:paraId="7177FCAA" w14:textId="77777777" w:rsidR="00EC22D4" w:rsidRPr="00D35D64" w:rsidRDefault="00EC22D4" w:rsidP="00EC22D4">
      <w:pPr>
        <w:numPr>
          <w:ilvl w:val="0"/>
          <w:numId w:val="2"/>
        </w:numPr>
        <w:tabs>
          <w:tab w:val="num" w:pos="0"/>
          <w:tab w:val="left" w:pos="851"/>
        </w:tabs>
        <w:suppressAutoHyphen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si impegna a far sottoscrivere ai componenti della predetta Commissione la dichiarazione di assenza di cause di incompatibilità e </w:t>
      </w:r>
      <w:proofErr w:type="spellStart"/>
      <w:r w:rsidRPr="00D35D64">
        <w:rPr>
          <w:rFonts w:ascii="Palatino Linotype" w:eastAsia="SimSun" w:hAnsi="Palatino Linotype" w:cs="Arial"/>
          <w:kern w:val="1"/>
          <w:sz w:val="20"/>
          <w:szCs w:val="20"/>
          <w:lang w:eastAsia="ar-SA"/>
        </w:rPr>
        <w:t>inconferibilità</w:t>
      </w:r>
      <w:proofErr w:type="spellEnd"/>
      <w:r w:rsidRPr="00D35D64">
        <w:rPr>
          <w:rFonts w:ascii="Palatino Linotype" w:eastAsia="SimSun" w:hAnsi="Palatino Linotype" w:cs="Arial"/>
          <w:kern w:val="1"/>
          <w:sz w:val="20"/>
          <w:szCs w:val="20"/>
          <w:lang w:eastAsia="ar-SA"/>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14:paraId="2325006B" w14:textId="77777777" w:rsidR="00EC22D4" w:rsidRPr="00D35D64" w:rsidRDefault="00EC22D4" w:rsidP="00EC22D4">
      <w:pPr>
        <w:numPr>
          <w:ilvl w:val="0"/>
          <w:numId w:val="8"/>
        </w:numPr>
        <w:tabs>
          <w:tab w:val="left" w:pos="1276"/>
        </w:tabs>
        <w:ind w:left="1276"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persone</w:t>
      </w:r>
      <w:proofErr w:type="gramEnd"/>
      <w:r w:rsidRPr="00D35D64">
        <w:rPr>
          <w:rFonts w:ascii="Palatino Linotype" w:eastAsia="SimSun" w:hAnsi="Palatino Linotype" w:cs="Arial"/>
          <w:kern w:val="1"/>
          <w:sz w:val="20"/>
          <w:szCs w:val="20"/>
          <w:lang w:eastAsia="ar-SA"/>
        </w:rPr>
        <w:t xml:space="preserve"> con le quali abbia rapporti di frequentazione abituale;</w:t>
      </w:r>
    </w:p>
    <w:p w14:paraId="5D8DC9AF" w14:textId="77777777" w:rsidR="00EC22D4" w:rsidRPr="00D35D64" w:rsidRDefault="00EC22D4" w:rsidP="00EC22D4">
      <w:pPr>
        <w:numPr>
          <w:ilvl w:val="0"/>
          <w:numId w:val="8"/>
        </w:numPr>
        <w:tabs>
          <w:tab w:val="left" w:pos="1276"/>
        </w:tabs>
        <w:ind w:left="1276"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soggetti</w:t>
      </w:r>
      <w:proofErr w:type="gramEnd"/>
      <w:r w:rsidRPr="00D35D64">
        <w:rPr>
          <w:rFonts w:ascii="Palatino Linotype" w:eastAsia="SimSun" w:hAnsi="Palatino Linotype" w:cs="Arial"/>
          <w:kern w:val="1"/>
          <w:sz w:val="20"/>
          <w:szCs w:val="20"/>
          <w:lang w:eastAsia="ar-SA"/>
        </w:rPr>
        <w:t xml:space="preserve"> ed organizzazioni con cui egli o il coniuge abbia causa pendente o grave inimicizia o rapporti di credito o debito significativi;</w:t>
      </w:r>
    </w:p>
    <w:p w14:paraId="237F1CFC" w14:textId="77777777" w:rsidR="00EC22D4" w:rsidRPr="00D35D64" w:rsidRDefault="00EC22D4" w:rsidP="00EC22D4">
      <w:pPr>
        <w:numPr>
          <w:ilvl w:val="0"/>
          <w:numId w:val="8"/>
        </w:numPr>
        <w:tabs>
          <w:tab w:val="left" w:pos="1276"/>
        </w:tabs>
        <w:ind w:left="1276" w:hanging="425"/>
        <w:jc w:val="both"/>
        <w:rPr>
          <w:rFonts w:ascii="Palatino Linotype"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soggetti</w:t>
      </w:r>
      <w:proofErr w:type="gramEnd"/>
      <w:r w:rsidRPr="00D35D64">
        <w:rPr>
          <w:rFonts w:ascii="Palatino Linotype" w:eastAsia="SimSun" w:hAnsi="Palatino Linotype" w:cs="Arial"/>
          <w:kern w:val="1"/>
          <w:sz w:val="20"/>
          <w:szCs w:val="20"/>
          <w:lang w:eastAsia="ar-SA"/>
        </w:rPr>
        <w:t xml:space="preserve"> od organizzazioni di cui sia tutore, curatore, procuratore o agente;</w:t>
      </w:r>
    </w:p>
    <w:p w14:paraId="5E87C44A" w14:textId="77777777" w:rsidR="00EC22D4" w:rsidRPr="00D35D64" w:rsidRDefault="00EC22D4" w:rsidP="00EC22D4">
      <w:pPr>
        <w:numPr>
          <w:ilvl w:val="0"/>
          <w:numId w:val="8"/>
        </w:numPr>
        <w:tabs>
          <w:tab w:val="left" w:pos="1276"/>
        </w:tabs>
        <w:suppressAutoHyphens/>
        <w:ind w:left="1276"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enti</w:t>
      </w:r>
      <w:proofErr w:type="gramEnd"/>
      <w:r w:rsidRPr="00D35D64">
        <w:rPr>
          <w:rFonts w:ascii="Palatino Linotype" w:eastAsia="SimSun" w:hAnsi="Palatino Linotype" w:cs="Arial"/>
          <w:kern w:val="1"/>
          <w:sz w:val="20"/>
          <w:szCs w:val="20"/>
          <w:lang w:eastAsia="ar-SA"/>
        </w:rPr>
        <w:t>, associazioni anche non riconosciute, comitati, società o stabilimenti di cui sia amministratore, o gerente, o nelle quali ricopra cariche sociali e/o di rappresentanza;</w:t>
      </w:r>
    </w:p>
    <w:p w14:paraId="1982356F" w14:textId="77777777" w:rsidR="00EC22D4" w:rsidRPr="00D35D64" w:rsidRDefault="00EC22D4" w:rsidP="00EC22D4">
      <w:pPr>
        <w:numPr>
          <w:ilvl w:val="0"/>
          <w:numId w:val="8"/>
        </w:numPr>
        <w:tabs>
          <w:tab w:val="left" w:pos="1276"/>
        </w:tabs>
        <w:suppressAutoHyphens/>
        <w:ind w:left="1276" w:hanging="425"/>
        <w:jc w:val="both"/>
        <w:rPr>
          <w:rFonts w:ascii="Palatino Linotype" w:eastAsia="SimSun" w:hAnsi="Palatino Linotype" w:cs="Arial"/>
          <w:kern w:val="1"/>
          <w:sz w:val="20"/>
          <w:szCs w:val="20"/>
          <w:lang w:eastAsia="ar-SA"/>
        </w:rPr>
      </w:pPr>
      <w:proofErr w:type="gramStart"/>
      <w:r w:rsidRPr="00D35D64">
        <w:rPr>
          <w:rFonts w:ascii="Palatino Linotype" w:eastAsia="SimSun" w:hAnsi="Palatino Linotype" w:cs="Arial"/>
          <w:kern w:val="1"/>
          <w:sz w:val="20"/>
          <w:szCs w:val="20"/>
          <w:lang w:eastAsia="ar-SA"/>
        </w:rPr>
        <w:t>in</w:t>
      </w:r>
      <w:proofErr w:type="gramEnd"/>
      <w:r w:rsidRPr="00D35D64">
        <w:rPr>
          <w:rFonts w:ascii="Palatino Linotype" w:eastAsia="SimSun" w:hAnsi="Palatino Linotype" w:cs="Arial"/>
          <w:kern w:val="1"/>
          <w:sz w:val="20"/>
          <w:szCs w:val="20"/>
          <w:lang w:eastAsia="ar-SA"/>
        </w:rPr>
        <w:t xml:space="preserve"> ogni altro caso in cui esistano gravi ragioni di opportunità e convenienza.</w:t>
      </w:r>
    </w:p>
    <w:p w14:paraId="3348A20A" w14:textId="77777777" w:rsidR="00EC22D4" w:rsidRPr="00D35D64" w:rsidRDefault="00EC22D4" w:rsidP="00EC22D4">
      <w:pPr>
        <w:numPr>
          <w:ilvl w:val="0"/>
          <w:numId w:val="9"/>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 si impegna ad adempiere con la dovuta diligenza alla corretta esecuzione del contratto e a verificare nel contempo la corretta esecuzione delle controprestazioni.</w:t>
      </w:r>
    </w:p>
    <w:p w14:paraId="047D34C0" w14:textId="77777777" w:rsidR="00EC22D4" w:rsidRPr="00D35D64" w:rsidRDefault="00EC22D4" w:rsidP="00EC22D4">
      <w:pPr>
        <w:tabs>
          <w:tab w:val="left" w:pos="426"/>
        </w:tabs>
        <w:jc w:val="both"/>
        <w:rPr>
          <w:rFonts w:ascii="Palatino Linotype" w:eastAsia="SimSun" w:hAnsi="Palatino Linotype" w:cs="Arial"/>
          <w:kern w:val="1"/>
          <w:sz w:val="20"/>
          <w:szCs w:val="20"/>
          <w:lang w:eastAsia="ar-SA"/>
        </w:rPr>
      </w:pPr>
    </w:p>
    <w:p w14:paraId="525D586E" w14:textId="77777777" w:rsidR="00EC22D4" w:rsidRPr="00856852" w:rsidRDefault="00EC22D4" w:rsidP="00EC22D4">
      <w:pPr>
        <w:ind w:left="142"/>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4</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Violazione del Patto di integrità</w:t>
      </w:r>
    </w:p>
    <w:p w14:paraId="62165404" w14:textId="77777777" w:rsidR="00EC22D4" w:rsidRPr="00D35D64" w:rsidRDefault="00EC22D4" w:rsidP="00EC22D4">
      <w:pPr>
        <w:numPr>
          <w:ilvl w:val="0"/>
          <w:numId w:val="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 violazione da parte dell’operatore economico, sia in veste di concorrente che di aggiudicatario, di uno degli impegni previsti a suo carico dall’articolo 2, può comportare, secondo la gravità della violazione rilevata e la fase in cui la violazione è accertata, le seguenti sanzioni:</w:t>
      </w:r>
    </w:p>
    <w:p w14:paraId="0DA2186A" w14:textId="77777777" w:rsidR="00EC22D4" w:rsidRPr="00D35D64" w:rsidRDefault="00EC22D4" w:rsidP="00EC22D4">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a)</w:t>
      </w:r>
      <w:r w:rsidRPr="00D35D64">
        <w:rPr>
          <w:rFonts w:ascii="Palatino Linotype" w:eastAsia="SimSun" w:hAnsi="Palatino Linotype" w:cs="Arial"/>
          <w:kern w:val="1"/>
          <w:sz w:val="20"/>
          <w:szCs w:val="20"/>
          <w:lang w:eastAsia="ar-SA"/>
        </w:rPr>
        <w:tab/>
        <w:t>l’esclusione dalla procedura di affidamento;</w:t>
      </w:r>
    </w:p>
    <w:p w14:paraId="1E8F50C2" w14:textId="77777777" w:rsidR="00EC22D4" w:rsidRPr="00D35D64" w:rsidRDefault="00EC22D4" w:rsidP="00EC22D4">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b)</w:t>
      </w:r>
      <w:r w:rsidRPr="00D35D64">
        <w:rPr>
          <w:rFonts w:ascii="Palatino Linotype" w:eastAsia="SimSun" w:hAnsi="Palatino Linotype" w:cs="Arial"/>
          <w:kern w:val="1"/>
          <w:sz w:val="20"/>
          <w:szCs w:val="20"/>
          <w:lang w:eastAsia="ar-SA"/>
        </w:rPr>
        <w:tab/>
        <w:t>la risoluzione di diritto del contratto;</w:t>
      </w:r>
    </w:p>
    <w:p w14:paraId="7B19E96E" w14:textId="77777777" w:rsidR="00EC22D4" w:rsidRPr="00D35D64" w:rsidRDefault="00EC22D4" w:rsidP="00EC22D4">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lastRenderedPageBreak/>
        <w:t>c)</w:t>
      </w:r>
      <w:r w:rsidRPr="00D35D64">
        <w:rPr>
          <w:rFonts w:ascii="Palatino Linotype" w:eastAsia="SimSun" w:hAnsi="Palatino Linotype" w:cs="Arial"/>
          <w:kern w:val="1"/>
          <w:sz w:val="20"/>
          <w:szCs w:val="20"/>
          <w:lang w:eastAsia="ar-SA"/>
        </w:rPr>
        <w:tab/>
        <w:t>escussione totale o parziale, dal 10% al 50%, dei depositi cauzionali o altre garanzie depositate ai fini della partecipazione alla procedura di affidamento;</w:t>
      </w:r>
    </w:p>
    <w:p w14:paraId="2C1D21B0" w14:textId="77777777" w:rsidR="00EC22D4" w:rsidRPr="00D35D64" w:rsidRDefault="00EC22D4" w:rsidP="00EC22D4">
      <w:pPr>
        <w:tabs>
          <w:tab w:val="left" w:pos="851"/>
        </w:tabs>
        <w:ind w:left="851" w:hanging="425"/>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d)</w:t>
      </w:r>
      <w:r w:rsidRPr="00D35D64">
        <w:rPr>
          <w:rFonts w:ascii="Palatino Linotype" w:eastAsia="SimSun" w:hAnsi="Palatino Linotype" w:cs="Arial"/>
          <w:kern w:val="1"/>
          <w:sz w:val="20"/>
          <w:szCs w:val="20"/>
          <w:lang w:eastAsia="ar-SA"/>
        </w:rPr>
        <w:tab/>
        <w:t>interdizione del concorrente a partecipare ad altre gare indette dalla medesima stazione appaltante per un periodo di tempo compreso tra sei mesi e tre anni.</w:t>
      </w:r>
    </w:p>
    <w:p w14:paraId="74A2392C" w14:textId="77777777" w:rsidR="00EC22D4" w:rsidRPr="00D35D64" w:rsidRDefault="00EC22D4" w:rsidP="00EC22D4">
      <w:pPr>
        <w:numPr>
          <w:ilvl w:val="0"/>
          <w:numId w:val="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L’applicazione delle sanzioni conseguenti alla violazioni di cui al presente Patto avviene con garanzia di adeguato contradditorio dall’amministrazione aggiudicatrice, secondo le regole generali degli appalti pubblici. </w:t>
      </w:r>
    </w:p>
    <w:p w14:paraId="0E783DD4" w14:textId="77777777" w:rsidR="00EC22D4" w:rsidRPr="00D35D64" w:rsidRDefault="00EC22D4" w:rsidP="00EC22D4">
      <w:pPr>
        <w:numPr>
          <w:ilvl w:val="0"/>
          <w:numId w:val="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 stazione appaltante individuerà le sanzioni da applicare in concreto secondo il criterio di colpevolezza, gradualità e proporzionalità in rapporto alla gravità della violazione rilevata.</w:t>
      </w:r>
    </w:p>
    <w:p w14:paraId="35E8B6C6" w14:textId="77777777" w:rsidR="00EC22D4" w:rsidRPr="00D35D64" w:rsidRDefault="00EC22D4" w:rsidP="00EC22D4">
      <w:pPr>
        <w:numPr>
          <w:ilvl w:val="0"/>
          <w:numId w:val="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In ogni caso, per le violazioni di cui all’art. 2 comma 1, </w:t>
      </w:r>
      <w:proofErr w:type="spellStart"/>
      <w:r w:rsidRPr="00D35D64">
        <w:rPr>
          <w:rFonts w:ascii="Palatino Linotype" w:eastAsia="SimSun" w:hAnsi="Palatino Linotype" w:cs="Arial"/>
          <w:kern w:val="1"/>
          <w:sz w:val="20"/>
          <w:szCs w:val="20"/>
          <w:lang w:eastAsia="ar-SA"/>
        </w:rPr>
        <w:t>lett</w:t>
      </w:r>
      <w:proofErr w:type="spellEnd"/>
      <w:r w:rsidRPr="00D35D64">
        <w:rPr>
          <w:rFonts w:ascii="Palatino Linotype" w:eastAsia="SimSun" w:hAnsi="Palatino Linotype" w:cs="Arial"/>
          <w:kern w:val="1"/>
          <w:sz w:val="20"/>
          <w:szCs w:val="20"/>
          <w:lang w:eastAsia="ar-SA"/>
        </w:rPr>
        <w:t xml:space="preserve">. a), b), c), d) del presente Patto, è sempre disposta l’escussione del deposito cauzionale o altra garanzia depositata ai fini della partecipazione alla procedura di affidamento, l’esclusione dalla gara o la risoluzione ipso iure del contratto, salvo che le stazioni appaltanti, con apposito atto, decidano di non avvalersi della predetta risoluzione, qualora ritengano che la stessa sia pregiudizievole agli interessi pubblici di cui all’articolo 121, comma 2 del </w:t>
      </w:r>
      <w:proofErr w:type="spellStart"/>
      <w:r w:rsidRPr="00D35D64">
        <w:rPr>
          <w:rFonts w:ascii="Palatino Linotype" w:eastAsia="SimSun" w:hAnsi="Palatino Linotype" w:cs="Arial"/>
          <w:kern w:val="1"/>
          <w:sz w:val="20"/>
          <w:szCs w:val="20"/>
          <w:lang w:eastAsia="ar-SA"/>
        </w:rPr>
        <w:t>D.Lgs.</w:t>
      </w:r>
      <w:proofErr w:type="spellEnd"/>
      <w:r w:rsidRPr="00D35D64">
        <w:rPr>
          <w:rFonts w:ascii="Palatino Linotype" w:eastAsia="SimSun" w:hAnsi="Palatino Linotype" w:cs="Arial"/>
          <w:kern w:val="1"/>
          <w:sz w:val="20"/>
          <w:szCs w:val="20"/>
          <w:lang w:eastAsia="ar-SA"/>
        </w:rPr>
        <w:t xml:space="preserve"> 104/2010, nonché l’interdizione del concorrente a partecipare ad altre gare indette dalla medesima stazione appaltante per sei mesi decorrenti dalla comunicazione del provvedimento di applicazione della sanzione. Nei casi di recidiva nelle violazioni di cui al superiore art. 2 c. 1 </w:t>
      </w:r>
      <w:proofErr w:type="spellStart"/>
      <w:r w:rsidRPr="00D35D64">
        <w:rPr>
          <w:rFonts w:ascii="Palatino Linotype" w:eastAsia="SimSun" w:hAnsi="Palatino Linotype" w:cs="Arial"/>
          <w:kern w:val="1"/>
          <w:sz w:val="20"/>
          <w:szCs w:val="20"/>
          <w:lang w:eastAsia="ar-SA"/>
        </w:rPr>
        <w:t>lett</w:t>
      </w:r>
      <w:proofErr w:type="spellEnd"/>
      <w:r w:rsidRPr="00D35D64">
        <w:rPr>
          <w:rFonts w:ascii="Palatino Linotype" w:eastAsia="SimSun" w:hAnsi="Palatino Linotype" w:cs="Arial"/>
          <w:kern w:val="1"/>
          <w:sz w:val="20"/>
          <w:szCs w:val="20"/>
          <w:lang w:eastAsia="ar-SA"/>
        </w:rPr>
        <w:t>. a), b), c), d), e per le medesime violazioni, si applica l’interdizione del concorrente a partecipare ad altre gare indette dalla medesima stazione appaltante per tre anni decorrenti dalla comunicazione del provvedimento di applicazione della sanzione.</w:t>
      </w:r>
    </w:p>
    <w:p w14:paraId="3BB88BB8" w14:textId="77777777" w:rsidR="00EC22D4" w:rsidRPr="00D35D64" w:rsidRDefault="00EC22D4" w:rsidP="00EC22D4">
      <w:pPr>
        <w:numPr>
          <w:ilvl w:val="0"/>
          <w:numId w:val="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L’Amministrazione aggiudicatrice, ai sensi dell’art. 1382 c.c., si riserva la facoltà di richiedere il risarcimento del maggior danno effettivamente subito, ove lo ritenga superiore all'ammontare delle cauzioni o delle altre garanzie di cui al precedente comma 2, </w:t>
      </w:r>
      <w:proofErr w:type="spellStart"/>
      <w:r w:rsidRPr="00D35D64">
        <w:rPr>
          <w:rFonts w:ascii="Palatino Linotype" w:eastAsia="SimSun" w:hAnsi="Palatino Linotype" w:cs="Arial"/>
          <w:kern w:val="1"/>
          <w:sz w:val="20"/>
          <w:szCs w:val="20"/>
          <w:lang w:eastAsia="ar-SA"/>
        </w:rPr>
        <w:t>lett</w:t>
      </w:r>
      <w:proofErr w:type="spellEnd"/>
      <w:r w:rsidRPr="00D35D64">
        <w:rPr>
          <w:rFonts w:ascii="Palatino Linotype" w:eastAsia="SimSun" w:hAnsi="Palatino Linotype" w:cs="Arial"/>
          <w:kern w:val="1"/>
          <w:sz w:val="20"/>
          <w:szCs w:val="20"/>
          <w:lang w:eastAsia="ar-SA"/>
        </w:rPr>
        <w:t>. c) del presente articolo.</w:t>
      </w:r>
    </w:p>
    <w:p w14:paraId="31D4D7C1" w14:textId="77777777" w:rsidR="00EC22D4" w:rsidRPr="00856852" w:rsidRDefault="00EC22D4" w:rsidP="00EC22D4">
      <w:pPr>
        <w:numPr>
          <w:ilvl w:val="0"/>
          <w:numId w:val="6"/>
        </w:numPr>
        <w:tabs>
          <w:tab w:val="left" w:pos="426"/>
        </w:tabs>
        <w:suppressAutoHyphens/>
        <w:ind w:left="426" w:hanging="426"/>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Qualora le violazioni attengano a comportamenti che implicano il coinvolgimento anche dell’ufficio appaltante le stesse saranno accertate dagli organi competenti e le sanzioni saranno applicate dall’organismo ad esso direttamente superiore.</w:t>
      </w:r>
    </w:p>
    <w:p w14:paraId="4D65CCA5" w14:textId="77777777" w:rsidR="00EC22D4" w:rsidRPr="00D35D64" w:rsidRDefault="00EC22D4" w:rsidP="00EC22D4">
      <w:pPr>
        <w:tabs>
          <w:tab w:val="left" w:pos="426"/>
        </w:tabs>
        <w:ind w:left="426"/>
        <w:jc w:val="center"/>
        <w:rPr>
          <w:rFonts w:ascii="Palatino Linotype" w:eastAsia="SimSun" w:hAnsi="Palatino Linotype" w:cs="Arial"/>
          <w:kern w:val="1"/>
          <w:sz w:val="20"/>
          <w:szCs w:val="20"/>
          <w:lang w:eastAsia="ar-SA"/>
        </w:rPr>
      </w:pPr>
    </w:p>
    <w:p w14:paraId="5568C55C" w14:textId="77777777" w:rsidR="00EC22D4" w:rsidRPr="00856852" w:rsidRDefault="00EC22D4" w:rsidP="00EC22D4">
      <w:pPr>
        <w:rPr>
          <w:rFonts w:ascii="Palatino Linotype" w:eastAsia="SimSun" w:hAnsi="Palatino Linotype" w:cs="Arial"/>
          <w:b/>
          <w:kern w:val="1"/>
          <w:sz w:val="20"/>
          <w:szCs w:val="20"/>
          <w:lang w:eastAsia="ar-SA"/>
        </w:rPr>
      </w:pPr>
      <w:r w:rsidRPr="00D35D64">
        <w:rPr>
          <w:rFonts w:ascii="Palatino Linotype" w:eastAsia="SimSun" w:hAnsi="Palatino Linotype" w:cs="Arial"/>
          <w:b/>
          <w:kern w:val="1"/>
          <w:sz w:val="20"/>
          <w:szCs w:val="20"/>
          <w:lang w:eastAsia="ar-SA"/>
        </w:rPr>
        <w:t>Art. 5</w:t>
      </w:r>
      <w:r>
        <w:rPr>
          <w:rFonts w:ascii="Palatino Linotype" w:eastAsia="SimSun" w:hAnsi="Palatino Linotype" w:cs="Arial"/>
          <w:b/>
          <w:kern w:val="1"/>
          <w:sz w:val="20"/>
          <w:szCs w:val="20"/>
          <w:lang w:eastAsia="ar-SA"/>
        </w:rPr>
        <w:t xml:space="preserve"> - </w:t>
      </w:r>
      <w:r w:rsidRPr="00D35D64">
        <w:rPr>
          <w:rFonts w:ascii="Palatino Linotype" w:eastAsia="SimSun" w:hAnsi="Palatino Linotype" w:cs="Arial"/>
          <w:b/>
          <w:kern w:val="1"/>
          <w:sz w:val="20"/>
          <w:szCs w:val="20"/>
          <w:lang w:eastAsia="ar-SA"/>
        </w:rPr>
        <w:t>Efficacia del patto di integrità</w:t>
      </w:r>
    </w:p>
    <w:p w14:paraId="2F683815" w14:textId="77777777" w:rsidR="00EC22D4" w:rsidRPr="00D35D64" w:rsidRDefault="00EC22D4" w:rsidP="00EC22D4">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 xml:space="preserve">Il presente Patto di Integrità e le sanzioni applicabili resteranno in vigore sino alla completa esecuzione del contratto sottoscritto </w:t>
      </w:r>
      <w:r>
        <w:rPr>
          <w:rFonts w:ascii="Palatino Linotype" w:eastAsia="SimSun" w:hAnsi="Palatino Linotype" w:cs="Arial"/>
          <w:kern w:val="1"/>
          <w:sz w:val="20"/>
          <w:szCs w:val="20"/>
          <w:lang w:eastAsia="ar-SA"/>
        </w:rPr>
        <w:t xml:space="preserve">con le aziende sanitarie interessate </w:t>
      </w:r>
      <w:r w:rsidRPr="00D35D64">
        <w:rPr>
          <w:rFonts w:ascii="Palatino Linotype" w:eastAsia="SimSun" w:hAnsi="Palatino Linotype" w:cs="Arial"/>
          <w:kern w:val="1"/>
          <w:sz w:val="20"/>
          <w:szCs w:val="20"/>
          <w:lang w:eastAsia="ar-SA"/>
        </w:rPr>
        <w:t>a seguito della procedura di affidamento e all’estinzione delle relative obbligazioni.</w:t>
      </w:r>
    </w:p>
    <w:p w14:paraId="4C3C596A" w14:textId="77777777" w:rsidR="00EC22D4" w:rsidRPr="00D35D64" w:rsidRDefault="00EC22D4" w:rsidP="00EC22D4">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Il contenuto del presente documento può essere integrato dagli eventuali futuri Protocolli di legalità sottoscritti dalla Regione Basilicata.</w:t>
      </w:r>
    </w:p>
    <w:p w14:paraId="423F24E7" w14:textId="77777777" w:rsidR="00EC22D4" w:rsidRPr="00D35D64" w:rsidRDefault="00EC22D4" w:rsidP="00EC22D4">
      <w:pPr>
        <w:jc w:val="both"/>
        <w:rPr>
          <w:rFonts w:ascii="Palatino Linotype" w:eastAsia="SimSun" w:hAnsi="Palatino Linotype" w:cs="Arial"/>
          <w:kern w:val="1"/>
          <w:sz w:val="20"/>
          <w:szCs w:val="20"/>
          <w:lang w:eastAsia="ar-SA"/>
        </w:rPr>
      </w:pPr>
    </w:p>
    <w:tbl>
      <w:tblPr>
        <w:tblW w:w="0" w:type="auto"/>
        <w:jc w:val="center"/>
        <w:tblLook w:val="04A0" w:firstRow="1" w:lastRow="0" w:firstColumn="1" w:lastColumn="0" w:noHBand="0" w:noVBand="1"/>
      </w:tblPr>
      <w:tblGrid>
        <w:gridCol w:w="4812"/>
        <w:gridCol w:w="4826"/>
      </w:tblGrid>
      <w:tr w:rsidR="00EC22D4" w:rsidRPr="00D35D64" w14:paraId="3C1EDF43" w14:textId="77777777" w:rsidTr="009912E3">
        <w:trPr>
          <w:jc w:val="center"/>
        </w:trPr>
        <w:tc>
          <w:tcPr>
            <w:tcW w:w="4889" w:type="dxa"/>
            <w:shd w:val="clear" w:color="auto" w:fill="auto"/>
          </w:tcPr>
          <w:p w14:paraId="0B779341" w14:textId="77777777" w:rsidR="00EC22D4" w:rsidRPr="00D35D64" w:rsidRDefault="00EC22D4" w:rsidP="009912E3">
            <w:pPr>
              <w:jc w:val="center"/>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w:t>
            </w:r>
            <w:r w:rsidRPr="00D35D64">
              <w:rPr>
                <w:rFonts w:ascii="Palatino Linotype" w:eastAsia="SimSun" w:hAnsi="Palatino Linotype" w:cs="Arial"/>
                <w:kern w:val="1"/>
                <w:sz w:val="20"/>
                <w:szCs w:val="20"/>
                <w:lang w:eastAsia="ar-SA"/>
              </w:rPr>
              <w:br/>
            </w:r>
          </w:p>
        </w:tc>
        <w:tc>
          <w:tcPr>
            <w:tcW w:w="4889" w:type="dxa"/>
            <w:shd w:val="clear" w:color="auto" w:fill="auto"/>
          </w:tcPr>
          <w:p w14:paraId="0558D638" w14:textId="77777777" w:rsidR="00EC22D4" w:rsidRPr="00D35D64" w:rsidRDefault="00EC22D4" w:rsidP="009912E3">
            <w:pPr>
              <w:jc w:val="center"/>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L’Amministrazione aggiudicatrice</w:t>
            </w:r>
            <w:r w:rsidRPr="00D35D64">
              <w:rPr>
                <w:rFonts w:ascii="Palatino Linotype" w:eastAsia="SimSun" w:hAnsi="Palatino Linotype" w:cs="Arial"/>
                <w:kern w:val="1"/>
                <w:sz w:val="20"/>
                <w:szCs w:val="20"/>
                <w:lang w:eastAsia="ar-SA"/>
              </w:rPr>
              <w:br/>
            </w:r>
          </w:p>
        </w:tc>
      </w:tr>
    </w:tbl>
    <w:p w14:paraId="0767DAAB" w14:textId="77777777" w:rsidR="00EC22D4" w:rsidRPr="00D35D64" w:rsidRDefault="00EC22D4" w:rsidP="00EC22D4">
      <w:pPr>
        <w:jc w:val="both"/>
        <w:rPr>
          <w:rFonts w:ascii="Palatino Linotype" w:eastAsia="SimSun" w:hAnsi="Palatino Linotype" w:cs="Arial"/>
          <w:kern w:val="1"/>
          <w:sz w:val="20"/>
          <w:szCs w:val="20"/>
          <w:lang w:eastAsia="ar-SA"/>
        </w:rPr>
      </w:pPr>
    </w:p>
    <w:p w14:paraId="363C96FB" w14:textId="77777777" w:rsidR="00EC22D4" w:rsidRPr="00D35D64" w:rsidRDefault="00EC22D4" w:rsidP="00EC22D4">
      <w:pPr>
        <w:jc w:val="both"/>
        <w:rPr>
          <w:rFonts w:ascii="Palatino Linotype" w:eastAsia="SimSun" w:hAnsi="Palatino Linotype" w:cs="Arial"/>
          <w:kern w:val="1"/>
          <w:sz w:val="20"/>
          <w:szCs w:val="20"/>
          <w:lang w:eastAsia="ar-SA"/>
        </w:rPr>
      </w:pPr>
      <w:r w:rsidRPr="00D35D64">
        <w:rPr>
          <w:rFonts w:ascii="Palatino Linotype" w:eastAsia="SimSun" w:hAnsi="Palatino Linotype" w:cs="Arial"/>
          <w:kern w:val="1"/>
          <w:sz w:val="20"/>
          <w:szCs w:val="20"/>
          <w:lang w:eastAsia="ar-SA"/>
        </w:rPr>
        <w:t>L’Operatore economico dichiara di aver letto, e di accettare espressamente, le disposizioni contenute nell’art. 2 e nell’art. 4 comma 3 del presente atto.</w:t>
      </w:r>
    </w:p>
    <w:p w14:paraId="4D78F240" w14:textId="77777777" w:rsidR="00EC22D4" w:rsidRPr="00D35D64" w:rsidRDefault="00EC22D4" w:rsidP="00EC22D4">
      <w:pPr>
        <w:jc w:val="both"/>
        <w:rPr>
          <w:rFonts w:ascii="Palatino Linotype" w:eastAsia="SimSun" w:hAnsi="Palatino Linotype" w:cs="Arial"/>
          <w:kern w:val="1"/>
          <w:sz w:val="20"/>
          <w:szCs w:val="20"/>
          <w:lang w:eastAsia="ar-SA"/>
        </w:rPr>
      </w:pPr>
    </w:p>
    <w:p w14:paraId="33F25DA3" w14:textId="77777777" w:rsidR="00EC22D4" w:rsidRPr="00D35D64" w:rsidRDefault="00EC22D4" w:rsidP="00EC22D4">
      <w:pPr>
        <w:ind w:left="6096"/>
        <w:rPr>
          <w:rFonts w:ascii="Palatino Linotype" w:hAnsi="Palatino Linotype"/>
          <w:sz w:val="20"/>
          <w:szCs w:val="20"/>
        </w:rPr>
      </w:pPr>
      <w:r>
        <w:rPr>
          <w:rFonts w:ascii="Palatino Linotype" w:eastAsia="SimSun" w:hAnsi="Palatino Linotype" w:cs="Arial"/>
          <w:kern w:val="1"/>
          <w:sz w:val="20"/>
          <w:szCs w:val="20"/>
          <w:lang w:eastAsia="ar-SA"/>
        </w:rPr>
        <w:t xml:space="preserve">      </w:t>
      </w:r>
      <w:r w:rsidRPr="00D35D64">
        <w:rPr>
          <w:rFonts w:ascii="Palatino Linotype" w:eastAsia="SimSun" w:hAnsi="Palatino Linotype" w:cs="Arial"/>
          <w:kern w:val="1"/>
          <w:sz w:val="20"/>
          <w:szCs w:val="20"/>
          <w:lang w:eastAsia="ar-SA"/>
        </w:rPr>
        <w:t>L’operatore economico</w:t>
      </w:r>
      <w:r w:rsidRPr="00D35D64">
        <w:rPr>
          <w:rFonts w:ascii="Palatino Linotype" w:eastAsia="SimSun" w:hAnsi="Palatino Linotype" w:cs="Arial"/>
          <w:kern w:val="1"/>
          <w:sz w:val="20"/>
          <w:szCs w:val="20"/>
          <w:lang w:eastAsia="ar-SA"/>
        </w:rPr>
        <w:br/>
      </w:r>
    </w:p>
    <w:sectPr w:rsidR="00EC22D4" w:rsidRPr="00D35D64" w:rsidSect="00017AF9">
      <w:headerReference w:type="default" r:id="rId8"/>
      <w:footerReference w:type="default" r:id="rId9"/>
      <w:headerReference w:type="first" r:id="rId10"/>
      <w:footerReference w:type="first" r:id="rId11"/>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0CCC" w14:textId="77777777" w:rsidR="00BB2FAC" w:rsidRDefault="00BB2FAC" w:rsidP="00AC4270">
      <w:r>
        <w:separator/>
      </w:r>
    </w:p>
  </w:endnote>
  <w:endnote w:type="continuationSeparator" w:id="0">
    <w:p w14:paraId="0999FC4C" w14:textId="77777777" w:rsidR="00BB2FAC" w:rsidRDefault="00BB2FA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7081" w14:textId="77777777" w:rsidR="004F6BAD" w:rsidRDefault="004F6BAD" w:rsidP="004F6BA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sorveglianza, sicurezza e guardia </w:t>
    </w:r>
  </w:p>
  <w:p w14:paraId="1529E35A" w14:textId="77777777" w:rsidR="004F6BAD" w:rsidRDefault="004F6BAD" w:rsidP="004F6BAD">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armata</w:t>
    </w:r>
    <w:proofErr w:type="gramEnd"/>
    <w:r>
      <w:rPr>
        <w:rFonts w:ascii="Palatino Linotype" w:hAnsi="Palatino Linotype"/>
        <w:b/>
        <w:i/>
        <w:color w:val="002060"/>
        <w:sz w:val="18"/>
        <w:szCs w:val="18"/>
      </w:rPr>
      <w:t xml:space="preserve"> degli uffici regionali siti alla Via A.M. Di Francia di Matera</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90C" w14:textId="77777777" w:rsidR="004F6BAD" w:rsidRDefault="004F6BAD" w:rsidP="004F6BAD">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 servizio di sorveglianza, sicurezza e guardia </w:t>
    </w:r>
  </w:p>
  <w:p w14:paraId="3E78F16C" w14:textId="77777777" w:rsidR="004F6BAD" w:rsidRDefault="004F6BAD" w:rsidP="004F6BAD">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armata</w:t>
    </w:r>
    <w:proofErr w:type="gramEnd"/>
    <w:r>
      <w:rPr>
        <w:rFonts w:ascii="Palatino Linotype" w:hAnsi="Palatino Linotype"/>
        <w:b/>
        <w:i/>
        <w:color w:val="002060"/>
        <w:sz w:val="18"/>
        <w:szCs w:val="18"/>
      </w:rPr>
      <w:t xml:space="preserve"> degli uffici regionali siti alla Via A.M. Di Francia di Matera</w:t>
    </w:r>
  </w:p>
  <w:p w14:paraId="6BD23389" w14:textId="3966B630" w:rsidR="00B21A07" w:rsidRPr="0070043C" w:rsidRDefault="00EC22D4" w:rsidP="0009494E">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D61D8" w14:textId="77777777" w:rsidR="00BB2FAC" w:rsidRDefault="00BB2FAC" w:rsidP="00AC4270">
      <w:r>
        <w:separator/>
      </w:r>
    </w:p>
  </w:footnote>
  <w:footnote w:type="continuationSeparator" w:id="0">
    <w:p w14:paraId="7903B324" w14:textId="77777777" w:rsidR="00BB2FAC" w:rsidRDefault="00BB2FAC"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9"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0"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num w:numId="1">
    <w:abstractNumId w:val="7"/>
  </w:num>
  <w:num w:numId="2">
    <w:abstractNumId w:val="1"/>
  </w:num>
  <w:num w:numId="3">
    <w:abstractNumId w:val="6"/>
  </w:num>
  <w:num w:numId="4">
    <w:abstractNumId w:val="9"/>
  </w:num>
  <w:num w:numId="5">
    <w:abstractNumId w:val="8"/>
  </w:num>
  <w:num w:numId="6">
    <w:abstractNumId w:val="0"/>
  </w:num>
  <w:num w:numId="7">
    <w:abstractNumId w:val="2"/>
  </w:num>
  <w:num w:numId="8">
    <w:abstractNumId w:val="3"/>
  </w:num>
  <w:num w:numId="9">
    <w:abstractNumId w:val="4"/>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232F0"/>
    <w:rsid w:val="001239FB"/>
    <w:rsid w:val="00124230"/>
    <w:rsid w:val="00125949"/>
    <w:rsid w:val="001320F7"/>
    <w:rsid w:val="00132CEE"/>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4993"/>
    <w:rsid w:val="002058B0"/>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5965"/>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783D"/>
    <w:rsid w:val="00477E18"/>
    <w:rsid w:val="00482220"/>
    <w:rsid w:val="00492303"/>
    <w:rsid w:val="004A138B"/>
    <w:rsid w:val="004A1CAD"/>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7C7E"/>
    <w:rsid w:val="008834F8"/>
    <w:rsid w:val="00885296"/>
    <w:rsid w:val="008853A5"/>
    <w:rsid w:val="00885B5B"/>
    <w:rsid w:val="00886797"/>
    <w:rsid w:val="0089032A"/>
    <w:rsid w:val="008927A0"/>
    <w:rsid w:val="00895423"/>
    <w:rsid w:val="008A0E61"/>
    <w:rsid w:val="008A1F5F"/>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102C"/>
    <w:rsid w:val="009A243E"/>
    <w:rsid w:val="009A24C2"/>
    <w:rsid w:val="009A2F49"/>
    <w:rsid w:val="009A3270"/>
    <w:rsid w:val="009A5E15"/>
    <w:rsid w:val="009B05B9"/>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3290"/>
    <w:rsid w:val="00AE3877"/>
    <w:rsid w:val="00AE4F2D"/>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221D7"/>
    <w:rsid w:val="00F239D4"/>
    <w:rsid w:val="00F2652F"/>
    <w:rsid w:val="00F2686A"/>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540C"/>
    <w:rsid w:val="00FB6B19"/>
    <w:rsid w:val="00FC0821"/>
    <w:rsid w:val="00FC1D0B"/>
    <w:rsid w:val="00FC2877"/>
    <w:rsid w:val="00FC4143"/>
    <w:rsid w:val="00FC5711"/>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56A3-8DAC-4DFF-B456-648BAD77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1612</Words>
  <Characters>9189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10</cp:revision>
  <cp:lastPrinted>2017-05-18T11:14:00Z</cp:lastPrinted>
  <dcterms:created xsi:type="dcterms:W3CDTF">2017-04-24T06:27:00Z</dcterms:created>
  <dcterms:modified xsi:type="dcterms:W3CDTF">2017-09-26T09:30:00Z</dcterms:modified>
</cp:coreProperties>
</file>