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9A0" w:rsidRDefault="003709A0" w:rsidP="003709A0">
      <w:pPr>
        <w:widowControl w:val="0"/>
        <w:autoSpaceDE w:val="0"/>
        <w:autoSpaceDN w:val="0"/>
        <w:adjustRightInd w:val="0"/>
        <w:ind w:right="-1532"/>
        <w:jc w:val="both"/>
        <w:rPr>
          <w:rFonts w:ascii="Palatino Linotype" w:hAnsi="Palatino Linotype" w:cs="Helvetica"/>
          <w:b/>
          <w:sz w:val="22"/>
          <w:szCs w:val="22"/>
        </w:rPr>
      </w:pPr>
    </w:p>
    <w:p w:rsidR="003709A0" w:rsidRDefault="00D90AF2" w:rsidP="00D90AF2">
      <w:pPr>
        <w:widowControl w:val="0"/>
        <w:tabs>
          <w:tab w:val="left" w:pos="3794"/>
        </w:tabs>
        <w:autoSpaceDE w:val="0"/>
        <w:autoSpaceDN w:val="0"/>
        <w:adjustRightInd w:val="0"/>
        <w:ind w:right="-1532"/>
        <w:jc w:val="both"/>
        <w:rPr>
          <w:rFonts w:ascii="Palatino Linotype" w:hAnsi="Palatino Linotype" w:cs="Helvetica"/>
          <w:b/>
          <w:sz w:val="22"/>
          <w:szCs w:val="22"/>
        </w:rPr>
      </w:pPr>
      <w:r>
        <w:rPr>
          <w:rFonts w:ascii="Palatino Linotype" w:hAnsi="Palatino Linotype" w:cs="Helvetica"/>
          <w:b/>
          <w:sz w:val="22"/>
          <w:szCs w:val="22"/>
        </w:rPr>
        <w:tab/>
      </w:r>
    </w:p>
    <w:p w:rsidR="00D90AF2" w:rsidRDefault="00D90AF2" w:rsidP="00D90AF2">
      <w:pPr>
        <w:widowControl w:val="0"/>
        <w:autoSpaceDE w:val="0"/>
        <w:autoSpaceDN w:val="0"/>
        <w:adjustRightInd w:val="0"/>
        <w:ind w:right="-1532"/>
        <w:jc w:val="center"/>
        <w:rPr>
          <w:rFonts w:ascii="Palatino Linotype" w:hAnsi="Palatino Linotype"/>
          <w:b/>
          <w:bCs/>
          <w:sz w:val="28"/>
          <w:szCs w:val="28"/>
        </w:rPr>
      </w:pPr>
    </w:p>
    <w:p w:rsidR="00D90AF2" w:rsidRPr="008A043A" w:rsidRDefault="00D90AF2" w:rsidP="009A02AC">
      <w:pPr>
        <w:widowControl w:val="0"/>
        <w:autoSpaceDE w:val="0"/>
        <w:autoSpaceDN w:val="0"/>
        <w:adjustRightInd w:val="0"/>
        <w:ind w:right="-1532"/>
        <w:jc w:val="center"/>
        <w:rPr>
          <w:rFonts w:ascii="Palatino Linotype" w:hAnsi="Palatino Linotype" w:cs="Helvetica"/>
          <w:b/>
          <w:color w:val="000000" w:themeColor="text1"/>
          <w:sz w:val="22"/>
          <w:szCs w:val="22"/>
        </w:rPr>
      </w:pPr>
      <w:r w:rsidRPr="003709A0">
        <w:rPr>
          <w:rFonts w:ascii="Palatino Linotype" w:hAnsi="Palatino Linotype"/>
          <w:b/>
          <w:bCs/>
          <w:sz w:val="28"/>
          <w:szCs w:val="28"/>
        </w:rPr>
        <w:t>Chiarimenti</w:t>
      </w:r>
      <w:r w:rsidR="00CB3975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302EE7">
        <w:rPr>
          <w:rFonts w:ascii="Palatino Linotype" w:hAnsi="Palatino Linotype"/>
          <w:b/>
          <w:bCs/>
          <w:sz w:val="28"/>
          <w:szCs w:val="28"/>
        </w:rPr>
        <w:t xml:space="preserve">n.1 </w:t>
      </w:r>
      <w:r w:rsidR="00CB3975">
        <w:rPr>
          <w:rFonts w:ascii="Palatino Linotype" w:hAnsi="Palatino Linotype"/>
          <w:b/>
          <w:bCs/>
          <w:sz w:val="28"/>
          <w:szCs w:val="28"/>
        </w:rPr>
        <w:t xml:space="preserve">al </w:t>
      </w:r>
      <w:r w:rsidR="005C0E9F" w:rsidRPr="008A043A">
        <w:rPr>
          <w:rFonts w:ascii="Palatino Linotype" w:hAnsi="Palatino Linotype"/>
          <w:b/>
          <w:bCs/>
          <w:color w:val="000000" w:themeColor="text1"/>
          <w:sz w:val="28"/>
          <w:szCs w:val="28"/>
        </w:rPr>
        <w:t>10/01/2018</w:t>
      </w:r>
    </w:p>
    <w:p w:rsidR="00D90AF2" w:rsidRPr="00302EE7" w:rsidRDefault="00D90AF2" w:rsidP="009A02AC">
      <w:pPr>
        <w:widowControl w:val="0"/>
        <w:tabs>
          <w:tab w:val="left" w:pos="3794"/>
        </w:tabs>
        <w:autoSpaceDE w:val="0"/>
        <w:autoSpaceDN w:val="0"/>
        <w:adjustRightInd w:val="0"/>
        <w:ind w:right="-1532"/>
        <w:jc w:val="both"/>
        <w:rPr>
          <w:rFonts w:ascii="Palatino Linotype" w:hAnsi="Palatino Linotype" w:cs="Helvetica"/>
          <w:b/>
          <w:color w:val="FF0000"/>
          <w:sz w:val="22"/>
          <w:szCs w:val="22"/>
        </w:rPr>
      </w:pPr>
    </w:p>
    <w:p w:rsidR="00D90AF2" w:rsidRPr="00302EE7" w:rsidRDefault="00D90AF2" w:rsidP="009A02AC">
      <w:pPr>
        <w:widowControl w:val="0"/>
        <w:autoSpaceDE w:val="0"/>
        <w:autoSpaceDN w:val="0"/>
        <w:adjustRightInd w:val="0"/>
        <w:ind w:right="-1532"/>
        <w:jc w:val="center"/>
        <w:rPr>
          <w:rFonts w:ascii="Palatino Linotype" w:hAnsi="Palatino Linotype" w:cs="Helvetica"/>
          <w:b/>
          <w:color w:val="FF0000"/>
          <w:sz w:val="22"/>
          <w:szCs w:val="22"/>
        </w:rPr>
      </w:pPr>
    </w:p>
    <w:p w:rsidR="003709A0" w:rsidRPr="00302EE7" w:rsidRDefault="00302EE7" w:rsidP="009A02AC">
      <w:pPr>
        <w:widowControl w:val="0"/>
        <w:autoSpaceDE w:val="0"/>
        <w:autoSpaceDN w:val="0"/>
        <w:adjustRightInd w:val="0"/>
        <w:ind w:right="-1532"/>
        <w:jc w:val="center"/>
        <w:rPr>
          <w:rFonts w:ascii="Palatino Linotype" w:hAnsi="Palatino Linotype" w:cs="Helvetica"/>
          <w:b/>
          <w:sz w:val="22"/>
          <w:szCs w:val="22"/>
        </w:rPr>
      </w:pPr>
      <w:r w:rsidRPr="00302EE7">
        <w:rPr>
          <w:rFonts w:ascii="Palatino Linotype" w:hAnsi="Palatino Linotype" w:cs="Helvetica"/>
          <w:b/>
          <w:sz w:val="22"/>
          <w:szCs w:val="22"/>
        </w:rPr>
        <w:t xml:space="preserve">Procedura aperta per l’affidamento dei servizi assicurativi delle aziende del servizio sanitario regionale (SSR) </w:t>
      </w:r>
      <w:proofErr w:type="gramStart"/>
      <w:r w:rsidRPr="00302EE7">
        <w:rPr>
          <w:rFonts w:ascii="Palatino Linotype" w:hAnsi="Palatino Linotype" w:cs="Helvetica"/>
          <w:b/>
          <w:sz w:val="22"/>
          <w:szCs w:val="22"/>
        </w:rPr>
        <w:t>e  della</w:t>
      </w:r>
      <w:proofErr w:type="gramEnd"/>
      <w:r w:rsidRPr="00302EE7">
        <w:rPr>
          <w:rFonts w:ascii="Palatino Linotype" w:hAnsi="Palatino Linotype" w:cs="Helvetica"/>
          <w:b/>
          <w:sz w:val="22"/>
          <w:szCs w:val="22"/>
        </w:rPr>
        <w:t xml:space="preserve"> Azienda Territoriale per l’Edilizia Residenziale di Potenza (</w:t>
      </w:r>
      <w:r>
        <w:rPr>
          <w:rFonts w:ascii="Palatino Linotype" w:hAnsi="Palatino Linotype" w:cs="Helvetica"/>
          <w:b/>
          <w:sz w:val="22"/>
          <w:szCs w:val="22"/>
        </w:rPr>
        <w:t>ATER</w:t>
      </w:r>
      <w:r w:rsidRPr="00302EE7">
        <w:rPr>
          <w:rFonts w:ascii="Palatino Linotype" w:hAnsi="Palatino Linotype" w:cs="Helvetica"/>
          <w:b/>
          <w:sz w:val="22"/>
          <w:szCs w:val="22"/>
        </w:rPr>
        <w:t xml:space="preserve">)” – </w:t>
      </w:r>
      <w:proofErr w:type="spellStart"/>
      <w:r w:rsidRPr="00302EE7">
        <w:rPr>
          <w:rFonts w:ascii="Palatino Linotype" w:hAnsi="Palatino Linotype" w:cs="Helvetica"/>
          <w:b/>
          <w:sz w:val="22"/>
          <w:szCs w:val="22"/>
        </w:rPr>
        <w:t>Simog</w:t>
      </w:r>
      <w:proofErr w:type="spellEnd"/>
      <w:r w:rsidRPr="00302EE7">
        <w:rPr>
          <w:rFonts w:ascii="Palatino Linotype" w:hAnsi="Palatino Linotype" w:cs="Helvetica"/>
          <w:b/>
          <w:sz w:val="22"/>
          <w:szCs w:val="22"/>
        </w:rPr>
        <w:t>: gara n. 6930312</w:t>
      </w:r>
      <w:r w:rsidR="003709A0" w:rsidRPr="00302EE7">
        <w:rPr>
          <w:rFonts w:ascii="Palatino Linotype" w:hAnsi="Palatino Linotype" w:cs="Helvetica"/>
          <w:b/>
          <w:sz w:val="22"/>
          <w:szCs w:val="22"/>
        </w:rPr>
        <w:t xml:space="preserve"> </w:t>
      </w:r>
      <w:r w:rsidRPr="00302EE7">
        <w:rPr>
          <w:rFonts w:ascii="Palatino Linotype" w:hAnsi="Palatino Linotype" w:cs="Helvetica"/>
          <w:b/>
          <w:sz w:val="22"/>
          <w:szCs w:val="22"/>
        </w:rPr>
        <w:t xml:space="preserve"> </w:t>
      </w:r>
    </w:p>
    <w:p w:rsidR="003709A0" w:rsidRPr="00302EE7" w:rsidRDefault="003709A0" w:rsidP="009A02AC">
      <w:pPr>
        <w:pStyle w:val="Default"/>
        <w:ind w:right="-1532"/>
        <w:rPr>
          <w:color w:val="FF0000"/>
        </w:rPr>
      </w:pPr>
    </w:p>
    <w:p w:rsidR="003709A0" w:rsidRPr="00302EE7" w:rsidRDefault="003709A0" w:rsidP="009A02AC">
      <w:pPr>
        <w:widowControl w:val="0"/>
        <w:autoSpaceDE w:val="0"/>
        <w:autoSpaceDN w:val="0"/>
        <w:adjustRightInd w:val="0"/>
        <w:ind w:right="-1532"/>
        <w:jc w:val="both"/>
        <w:rPr>
          <w:rFonts w:ascii="Palatino Linotype" w:hAnsi="Palatino Linotype" w:cs="Helvetica"/>
          <w:color w:val="FF0000"/>
          <w:sz w:val="22"/>
          <w:szCs w:val="22"/>
        </w:rPr>
      </w:pPr>
    </w:p>
    <w:p w:rsidR="00D90AF2" w:rsidRPr="00302EE7" w:rsidRDefault="003709A0" w:rsidP="009A02AC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right="-1532"/>
        <w:jc w:val="both"/>
        <w:rPr>
          <w:rFonts w:ascii="Palatino Linotype" w:hAnsi="Palatino Linotype" w:cs="Helvetica"/>
          <w:b/>
          <w:sz w:val="22"/>
          <w:szCs w:val="22"/>
        </w:rPr>
      </w:pPr>
      <w:r w:rsidRPr="00302EE7">
        <w:rPr>
          <w:rFonts w:ascii="Palatino Linotype" w:hAnsi="Palatino Linotype" w:cs="Helvetica"/>
          <w:b/>
          <w:sz w:val="22"/>
          <w:szCs w:val="22"/>
        </w:rPr>
        <w:t>Domand</w:t>
      </w:r>
      <w:r w:rsidR="00D90AF2" w:rsidRPr="00302EE7">
        <w:rPr>
          <w:rFonts w:ascii="Palatino Linotype" w:hAnsi="Palatino Linotype" w:cs="Helvetica"/>
          <w:b/>
          <w:sz w:val="22"/>
          <w:szCs w:val="22"/>
        </w:rPr>
        <w:t>a:</w:t>
      </w:r>
    </w:p>
    <w:p w:rsidR="003709A0" w:rsidRPr="00302EE7" w:rsidRDefault="003709A0" w:rsidP="009A02AC">
      <w:pPr>
        <w:widowControl w:val="0"/>
        <w:autoSpaceDE w:val="0"/>
        <w:autoSpaceDN w:val="0"/>
        <w:adjustRightInd w:val="0"/>
        <w:spacing w:line="276" w:lineRule="auto"/>
        <w:ind w:right="-1532"/>
        <w:jc w:val="both"/>
        <w:rPr>
          <w:rFonts w:ascii="Palatino Linotype" w:hAnsi="Palatino Linotype" w:cs="Helvetica"/>
          <w:sz w:val="22"/>
          <w:szCs w:val="22"/>
        </w:rPr>
      </w:pPr>
      <w:r w:rsidRPr="00302EE7">
        <w:rPr>
          <w:rFonts w:ascii="Palatino Linotype" w:hAnsi="Palatino Linotype" w:cs="Helvetica"/>
          <w:sz w:val="22"/>
          <w:szCs w:val="22"/>
        </w:rPr>
        <w:t>Richiesta documentazione integrativa attestante la sinistrosità pregressa</w:t>
      </w:r>
      <w:r w:rsidR="00302EE7" w:rsidRPr="00302EE7">
        <w:rPr>
          <w:rFonts w:ascii="Palatino Linotype" w:hAnsi="Palatino Linotype" w:cs="Helvetica"/>
          <w:sz w:val="22"/>
          <w:szCs w:val="22"/>
        </w:rPr>
        <w:t xml:space="preserve"> per i lotti relativi al Servizio Sanitario Regionale.</w:t>
      </w:r>
    </w:p>
    <w:p w:rsidR="003709A0" w:rsidRPr="00302EE7" w:rsidRDefault="003709A0" w:rsidP="009A02AC">
      <w:pPr>
        <w:widowControl w:val="0"/>
        <w:autoSpaceDE w:val="0"/>
        <w:autoSpaceDN w:val="0"/>
        <w:adjustRightInd w:val="0"/>
        <w:spacing w:line="276" w:lineRule="auto"/>
        <w:ind w:right="-1532"/>
        <w:jc w:val="both"/>
        <w:rPr>
          <w:rFonts w:ascii="Palatino Linotype" w:hAnsi="Palatino Linotype" w:cs="Helvetica"/>
          <w:b/>
          <w:sz w:val="22"/>
          <w:szCs w:val="22"/>
        </w:rPr>
      </w:pPr>
      <w:r w:rsidRPr="00302EE7">
        <w:rPr>
          <w:rFonts w:ascii="Palatino Linotype" w:hAnsi="Palatino Linotype" w:cs="Helvetica"/>
          <w:b/>
          <w:sz w:val="22"/>
          <w:szCs w:val="22"/>
        </w:rPr>
        <w:t>Risposta:</w:t>
      </w:r>
    </w:p>
    <w:p w:rsidR="003709A0" w:rsidRPr="00302EE7" w:rsidRDefault="003709A0" w:rsidP="009A02AC">
      <w:pPr>
        <w:widowControl w:val="0"/>
        <w:autoSpaceDE w:val="0"/>
        <w:autoSpaceDN w:val="0"/>
        <w:adjustRightInd w:val="0"/>
        <w:spacing w:line="276" w:lineRule="auto"/>
        <w:ind w:right="-1532"/>
        <w:jc w:val="both"/>
        <w:rPr>
          <w:rFonts w:ascii="Palatino Linotype" w:hAnsi="Palatino Linotype" w:cs="Helvetica"/>
          <w:sz w:val="22"/>
          <w:szCs w:val="22"/>
        </w:rPr>
      </w:pPr>
      <w:r w:rsidRPr="00302EE7">
        <w:rPr>
          <w:rFonts w:ascii="Palatino Linotype" w:hAnsi="Palatino Linotype" w:cs="Helvetica"/>
          <w:sz w:val="22"/>
          <w:szCs w:val="22"/>
        </w:rPr>
        <w:t xml:space="preserve">I documenti sulla sinistrosità pregressa </w:t>
      </w:r>
      <w:r w:rsidR="00781B94">
        <w:rPr>
          <w:rFonts w:ascii="Palatino Linotype" w:hAnsi="Palatino Linotype" w:cs="Helvetica"/>
          <w:sz w:val="22"/>
          <w:szCs w:val="22"/>
        </w:rPr>
        <w:t xml:space="preserve">al 31/12/2017 sono in fase di elaborazione </w:t>
      </w:r>
      <w:r w:rsidR="00132419">
        <w:rPr>
          <w:rFonts w:ascii="Palatino Linotype" w:hAnsi="Palatino Linotype" w:cs="Helvetica"/>
          <w:sz w:val="22"/>
          <w:szCs w:val="22"/>
        </w:rPr>
        <w:t xml:space="preserve">e saranno </w:t>
      </w:r>
      <w:r w:rsidR="00781B94">
        <w:rPr>
          <w:rFonts w:ascii="Palatino Linotype" w:hAnsi="Palatino Linotype" w:cs="Helvetica"/>
          <w:sz w:val="22"/>
          <w:szCs w:val="22"/>
        </w:rPr>
        <w:t>allegati quanto prima. Qualora gli stessi non saranno pronti in tempo utile per la redazione delle offerte saranno pubblicati quelli aggiornati al 30/06/2017.</w:t>
      </w:r>
    </w:p>
    <w:p w:rsidR="009A02AC" w:rsidRPr="00302EE7" w:rsidRDefault="009A02AC" w:rsidP="009A02AC">
      <w:pPr>
        <w:widowControl w:val="0"/>
        <w:autoSpaceDE w:val="0"/>
        <w:autoSpaceDN w:val="0"/>
        <w:adjustRightInd w:val="0"/>
        <w:spacing w:line="276" w:lineRule="auto"/>
        <w:ind w:right="-1532"/>
        <w:jc w:val="both"/>
        <w:rPr>
          <w:rFonts w:ascii="Palatino Linotype" w:hAnsi="Palatino Linotype" w:cs="Helvetica"/>
          <w:color w:val="FF0000"/>
          <w:sz w:val="22"/>
          <w:szCs w:val="22"/>
        </w:rPr>
      </w:pPr>
    </w:p>
    <w:p w:rsidR="003709A0" w:rsidRPr="0043577F" w:rsidRDefault="00D90AF2" w:rsidP="009A02AC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ind w:left="0" w:right="-1532"/>
        <w:jc w:val="both"/>
        <w:rPr>
          <w:rFonts w:ascii="Palatino Linotype" w:hAnsi="Palatino Linotype" w:cs="Helvetica"/>
          <w:b/>
          <w:sz w:val="22"/>
          <w:szCs w:val="22"/>
        </w:rPr>
      </w:pPr>
      <w:r w:rsidRPr="0043577F">
        <w:rPr>
          <w:rFonts w:ascii="Palatino Linotype" w:hAnsi="Palatino Linotype" w:cs="Helvetica"/>
          <w:b/>
          <w:sz w:val="22"/>
          <w:szCs w:val="22"/>
        </w:rPr>
        <w:t>Domanda:</w:t>
      </w:r>
    </w:p>
    <w:p w:rsidR="003709A0" w:rsidRPr="0043577F" w:rsidRDefault="009A02AC" w:rsidP="009A02AC">
      <w:pPr>
        <w:widowControl w:val="0"/>
        <w:autoSpaceDE w:val="0"/>
        <w:autoSpaceDN w:val="0"/>
        <w:adjustRightInd w:val="0"/>
        <w:spacing w:line="276" w:lineRule="auto"/>
        <w:ind w:right="-1532"/>
        <w:jc w:val="both"/>
        <w:rPr>
          <w:rFonts w:ascii="Palatino Linotype" w:hAnsi="Palatino Linotype" w:cs="Helvetica"/>
          <w:sz w:val="22"/>
          <w:szCs w:val="22"/>
        </w:rPr>
      </w:pPr>
      <w:proofErr w:type="gramStart"/>
      <w:r w:rsidRPr="0043577F">
        <w:rPr>
          <w:rFonts w:ascii="Palatino Linotype" w:hAnsi="Palatino Linotype" w:cs="Helvetica"/>
          <w:sz w:val="22"/>
          <w:szCs w:val="22"/>
        </w:rPr>
        <w:t xml:space="preserve">Si </w:t>
      </w:r>
      <w:r w:rsidR="00302EE7" w:rsidRPr="0043577F">
        <w:rPr>
          <w:rFonts w:ascii="Palatino Linotype" w:hAnsi="Palatino Linotype" w:cs="Helvetica"/>
          <w:sz w:val="22"/>
          <w:szCs w:val="22"/>
        </w:rPr>
        <w:t xml:space="preserve"> evidenziano</w:t>
      </w:r>
      <w:proofErr w:type="gramEnd"/>
      <w:r w:rsidR="00302EE7" w:rsidRPr="0043577F">
        <w:rPr>
          <w:rFonts w:ascii="Palatino Linotype" w:hAnsi="Palatino Linotype" w:cs="Helvetica"/>
          <w:sz w:val="22"/>
          <w:szCs w:val="22"/>
        </w:rPr>
        <w:t xml:space="preserve"> difformità tra lo schema di offerta economica </w:t>
      </w:r>
      <w:r w:rsidR="005C0E9F">
        <w:rPr>
          <w:rFonts w:ascii="Palatino Linotype" w:hAnsi="Palatino Linotype" w:cs="Helvetica"/>
          <w:sz w:val="22"/>
          <w:szCs w:val="22"/>
        </w:rPr>
        <w:t xml:space="preserve">(Elaborato H1) </w:t>
      </w:r>
      <w:r w:rsidR="00302EE7" w:rsidRPr="0043577F">
        <w:rPr>
          <w:rFonts w:ascii="Palatino Linotype" w:hAnsi="Palatino Linotype" w:cs="Helvetica"/>
          <w:sz w:val="22"/>
          <w:szCs w:val="22"/>
        </w:rPr>
        <w:t>e la documentazione prodotta dal Servizio Sanitario Regionale</w:t>
      </w:r>
      <w:r w:rsidR="005C0E9F">
        <w:rPr>
          <w:rFonts w:ascii="Palatino Linotype" w:hAnsi="Palatino Linotype" w:cs="Helvetica"/>
          <w:sz w:val="22"/>
          <w:szCs w:val="22"/>
        </w:rPr>
        <w:t xml:space="preserve"> </w:t>
      </w:r>
      <w:r w:rsidR="00302EE7" w:rsidRPr="0043577F">
        <w:rPr>
          <w:rFonts w:ascii="Palatino Linotype" w:hAnsi="Palatino Linotype" w:cs="Helvetica"/>
          <w:sz w:val="22"/>
          <w:szCs w:val="22"/>
        </w:rPr>
        <w:t xml:space="preserve">. </w:t>
      </w:r>
    </w:p>
    <w:p w:rsidR="00D90AF2" w:rsidRDefault="00D90AF2" w:rsidP="009A02AC">
      <w:pPr>
        <w:widowControl w:val="0"/>
        <w:autoSpaceDE w:val="0"/>
        <w:autoSpaceDN w:val="0"/>
        <w:adjustRightInd w:val="0"/>
        <w:spacing w:line="276" w:lineRule="auto"/>
        <w:ind w:right="-1532"/>
        <w:jc w:val="both"/>
        <w:rPr>
          <w:rFonts w:ascii="Palatino Linotype" w:hAnsi="Palatino Linotype" w:cs="Helvetica"/>
          <w:sz w:val="22"/>
          <w:szCs w:val="22"/>
        </w:rPr>
      </w:pPr>
      <w:r w:rsidRPr="0043577F">
        <w:rPr>
          <w:rFonts w:ascii="Palatino Linotype" w:hAnsi="Palatino Linotype" w:cs="Helvetica"/>
          <w:b/>
          <w:sz w:val="22"/>
          <w:szCs w:val="22"/>
        </w:rPr>
        <w:t xml:space="preserve">Risposta: </w:t>
      </w:r>
      <w:r w:rsidR="00302EE7" w:rsidRPr="0043577F">
        <w:rPr>
          <w:rFonts w:ascii="Palatino Linotype" w:hAnsi="Palatino Linotype" w:cs="Helvetica"/>
          <w:sz w:val="22"/>
          <w:szCs w:val="22"/>
        </w:rPr>
        <w:t xml:space="preserve">i documenti corretti sono quelli di gara quindi </w:t>
      </w:r>
      <w:r w:rsidR="005C0E9F">
        <w:rPr>
          <w:rFonts w:ascii="Palatino Linotype" w:hAnsi="Palatino Linotype" w:cs="Helvetica"/>
          <w:sz w:val="22"/>
          <w:szCs w:val="22"/>
        </w:rPr>
        <w:t>il mo</w:t>
      </w:r>
      <w:r w:rsidR="001A2E7A" w:rsidRPr="0043577F">
        <w:rPr>
          <w:rFonts w:ascii="Palatino Linotype" w:hAnsi="Palatino Linotype" w:cs="Helvetica"/>
          <w:sz w:val="22"/>
          <w:szCs w:val="22"/>
        </w:rPr>
        <w:t>dello di offerta H1. I documenti di progetto redatti dal SSR rappresentano una traccia di lavoro, riportante il progetto di servizio su dati pregressi, non la situazione effettiva patrimoniale alla data di pubblicazione del bando</w:t>
      </w:r>
      <w:r w:rsidR="005C0E9F">
        <w:rPr>
          <w:rFonts w:ascii="Palatino Linotype" w:hAnsi="Palatino Linotype" w:cs="Helvetica"/>
          <w:sz w:val="22"/>
          <w:szCs w:val="22"/>
        </w:rPr>
        <w:t>.</w:t>
      </w:r>
      <w:r w:rsidR="008A043A">
        <w:rPr>
          <w:rFonts w:ascii="Palatino Linotype" w:hAnsi="Palatino Linotype" w:cs="Helvetica"/>
          <w:sz w:val="22"/>
          <w:szCs w:val="22"/>
        </w:rPr>
        <w:t xml:space="preserve"> Pertanto la offerta dovrà essere formulata secondo gli schemi proposti negli eleborat1 G, G1, H e H1.</w:t>
      </w:r>
    </w:p>
    <w:p w:rsidR="005C0E9F" w:rsidRDefault="005C0E9F" w:rsidP="009A02AC">
      <w:pPr>
        <w:widowControl w:val="0"/>
        <w:autoSpaceDE w:val="0"/>
        <w:autoSpaceDN w:val="0"/>
        <w:adjustRightInd w:val="0"/>
        <w:spacing w:line="276" w:lineRule="auto"/>
        <w:ind w:right="-1532"/>
        <w:jc w:val="both"/>
        <w:rPr>
          <w:rFonts w:ascii="Palatino Linotype" w:hAnsi="Palatino Linotype" w:cs="Helvetica"/>
          <w:sz w:val="22"/>
          <w:szCs w:val="22"/>
        </w:rPr>
      </w:pPr>
    </w:p>
    <w:p w:rsidR="005C0E9F" w:rsidRPr="0043577F" w:rsidRDefault="005C0E9F" w:rsidP="005C0E9F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ind w:left="0" w:right="-1532"/>
        <w:jc w:val="both"/>
        <w:rPr>
          <w:rFonts w:ascii="Palatino Linotype" w:hAnsi="Palatino Linotype" w:cs="Helvetica"/>
          <w:b/>
          <w:sz w:val="22"/>
          <w:szCs w:val="22"/>
        </w:rPr>
      </w:pPr>
      <w:r w:rsidRPr="0043577F">
        <w:rPr>
          <w:rFonts w:ascii="Palatino Linotype" w:hAnsi="Palatino Linotype" w:cs="Helvetica"/>
          <w:b/>
          <w:sz w:val="22"/>
          <w:szCs w:val="22"/>
        </w:rPr>
        <w:t>Domanda:</w:t>
      </w:r>
    </w:p>
    <w:p w:rsidR="005C0E9F" w:rsidRPr="0043577F" w:rsidRDefault="005C0E9F" w:rsidP="005C0E9F">
      <w:pPr>
        <w:widowControl w:val="0"/>
        <w:autoSpaceDE w:val="0"/>
        <w:autoSpaceDN w:val="0"/>
        <w:adjustRightInd w:val="0"/>
        <w:spacing w:line="276" w:lineRule="auto"/>
        <w:ind w:right="-1532"/>
        <w:jc w:val="both"/>
        <w:rPr>
          <w:rFonts w:ascii="Palatino Linotype" w:hAnsi="Palatino Linotype" w:cs="Helvetica"/>
          <w:sz w:val="22"/>
          <w:szCs w:val="22"/>
        </w:rPr>
      </w:pPr>
      <w:proofErr w:type="gramStart"/>
      <w:r w:rsidRPr="0043577F">
        <w:rPr>
          <w:rFonts w:ascii="Palatino Linotype" w:hAnsi="Palatino Linotype" w:cs="Helvetica"/>
          <w:sz w:val="22"/>
          <w:szCs w:val="22"/>
        </w:rPr>
        <w:t>Si  evidenzia</w:t>
      </w:r>
      <w:proofErr w:type="gramEnd"/>
      <w:r>
        <w:rPr>
          <w:rFonts w:ascii="Palatino Linotype" w:hAnsi="Palatino Linotype" w:cs="Helvetica"/>
          <w:sz w:val="22"/>
          <w:szCs w:val="22"/>
        </w:rPr>
        <w:t xml:space="preserve"> che il punto 5 del disciplinare riporta la non iscrizione alla c.d. </w:t>
      </w:r>
      <w:proofErr w:type="spellStart"/>
      <w:r>
        <w:rPr>
          <w:rFonts w:ascii="Palatino Linotype" w:hAnsi="Palatino Linotype" w:cs="Helvetica"/>
          <w:sz w:val="22"/>
          <w:szCs w:val="22"/>
        </w:rPr>
        <w:t>white</w:t>
      </w:r>
      <w:proofErr w:type="spellEnd"/>
      <w:r>
        <w:rPr>
          <w:rFonts w:ascii="Palatino Linotype" w:hAnsi="Palatino Linotype" w:cs="Helvetica"/>
          <w:sz w:val="22"/>
          <w:szCs w:val="22"/>
        </w:rPr>
        <w:t xml:space="preserve"> list quale causa di esclusione dalla gara. </w:t>
      </w:r>
    </w:p>
    <w:p w:rsidR="00DD38C4" w:rsidRPr="00DD38C4" w:rsidRDefault="005C0E9F" w:rsidP="005C0E9F">
      <w:pPr>
        <w:widowControl w:val="0"/>
        <w:autoSpaceDE w:val="0"/>
        <w:autoSpaceDN w:val="0"/>
        <w:adjustRightInd w:val="0"/>
        <w:spacing w:line="276" w:lineRule="auto"/>
        <w:ind w:right="-1532"/>
        <w:jc w:val="both"/>
        <w:rPr>
          <w:rFonts w:ascii="Palatino Linotype" w:hAnsi="Palatino Linotype" w:cs="Helvetica"/>
          <w:b/>
          <w:color w:val="000000" w:themeColor="text1"/>
          <w:sz w:val="22"/>
          <w:szCs w:val="22"/>
        </w:rPr>
      </w:pPr>
      <w:r w:rsidRPr="00DD38C4">
        <w:rPr>
          <w:rFonts w:ascii="Palatino Linotype" w:hAnsi="Palatino Linotype" w:cs="Helvetica"/>
          <w:b/>
          <w:color w:val="000000" w:themeColor="text1"/>
          <w:sz w:val="22"/>
          <w:szCs w:val="22"/>
        </w:rPr>
        <w:t>Risposta:</w:t>
      </w:r>
      <w:r w:rsidR="00C83433" w:rsidRPr="00DD38C4">
        <w:rPr>
          <w:rFonts w:ascii="Palatino Linotype" w:hAnsi="Palatino Linotype" w:cs="Helvetica"/>
          <w:b/>
          <w:color w:val="000000" w:themeColor="text1"/>
          <w:sz w:val="22"/>
          <w:szCs w:val="22"/>
        </w:rPr>
        <w:t xml:space="preserve"> </w:t>
      </w:r>
      <w:r w:rsidR="00C83433" w:rsidRPr="00DD38C4">
        <w:rPr>
          <w:rFonts w:ascii="Palatino Linotype" w:hAnsi="Palatino Linotype" w:cs="Helvetica"/>
          <w:color w:val="000000" w:themeColor="text1"/>
          <w:sz w:val="22"/>
          <w:szCs w:val="22"/>
        </w:rPr>
        <w:t xml:space="preserve">la previsione </w:t>
      </w:r>
      <w:r w:rsidR="00E20A9D">
        <w:rPr>
          <w:rFonts w:ascii="Palatino Linotype" w:hAnsi="Palatino Linotype" w:cs="Helvetica"/>
          <w:color w:val="000000" w:themeColor="text1"/>
          <w:sz w:val="22"/>
          <w:szCs w:val="22"/>
        </w:rPr>
        <w:t>del disciplinare di gara (Elaborato C), che impone, a pena di esclusione, l’</w:t>
      </w:r>
      <w:r w:rsidR="00E20A9D" w:rsidRPr="00DD38C4">
        <w:rPr>
          <w:rFonts w:ascii="Palatino Linotype" w:hAnsi="Palatino Linotype" w:cs="Helvetica"/>
          <w:color w:val="000000" w:themeColor="text1"/>
          <w:sz w:val="22"/>
          <w:szCs w:val="22"/>
        </w:rPr>
        <w:t xml:space="preserve">iscrizione alle c.d. </w:t>
      </w:r>
      <w:proofErr w:type="spellStart"/>
      <w:r w:rsidR="00E20A9D" w:rsidRPr="00DD38C4">
        <w:rPr>
          <w:rFonts w:ascii="Palatino Linotype" w:hAnsi="Palatino Linotype" w:cs="Helvetica"/>
          <w:color w:val="000000" w:themeColor="text1"/>
          <w:sz w:val="22"/>
          <w:szCs w:val="22"/>
        </w:rPr>
        <w:t>white</w:t>
      </w:r>
      <w:proofErr w:type="spellEnd"/>
      <w:r w:rsidR="00E20A9D" w:rsidRPr="00DD38C4">
        <w:rPr>
          <w:rFonts w:ascii="Palatino Linotype" w:hAnsi="Palatino Linotype" w:cs="Helvetica"/>
          <w:color w:val="000000" w:themeColor="text1"/>
          <w:sz w:val="22"/>
          <w:szCs w:val="22"/>
        </w:rPr>
        <w:t xml:space="preserve"> list</w:t>
      </w:r>
      <w:r w:rsidR="00E20A9D">
        <w:rPr>
          <w:rFonts w:ascii="Palatino Linotype" w:hAnsi="Palatino Linotype" w:cs="Helvetica"/>
          <w:color w:val="000000" w:themeColor="text1"/>
          <w:sz w:val="22"/>
          <w:szCs w:val="22"/>
        </w:rPr>
        <w:t xml:space="preserve">, riproduce pedissequamente quanto previsto </w:t>
      </w:r>
      <w:r w:rsidR="00C83433" w:rsidRPr="00DD38C4">
        <w:rPr>
          <w:rFonts w:ascii="Palatino Linotype" w:hAnsi="Palatino Linotype" w:cs="Helvetica"/>
          <w:color w:val="000000" w:themeColor="text1"/>
          <w:sz w:val="22"/>
          <w:szCs w:val="22"/>
        </w:rPr>
        <w:t>nel disciplinare tipo ANAC</w:t>
      </w:r>
      <w:r w:rsidR="00E20A9D">
        <w:rPr>
          <w:rFonts w:ascii="Palatino Linotype" w:hAnsi="Palatino Linotype" w:cs="Helvetica"/>
          <w:color w:val="000000" w:themeColor="text1"/>
          <w:sz w:val="22"/>
          <w:szCs w:val="22"/>
        </w:rPr>
        <w:t xml:space="preserve"> pubblicato sulla G.U.R.I. n. 298 del 22.12.2017, che però si riferisce ad una fattispecie </w:t>
      </w:r>
      <w:r w:rsidR="00DD38C4" w:rsidRPr="00DD38C4">
        <w:rPr>
          <w:rFonts w:ascii="Palatino Linotype" w:hAnsi="Palatino Linotype" w:cs="Helvetica"/>
          <w:color w:val="000000" w:themeColor="text1"/>
          <w:sz w:val="22"/>
          <w:szCs w:val="22"/>
        </w:rPr>
        <w:t>non attinente al servizio in questione,</w:t>
      </w:r>
      <w:r w:rsidR="00DD38C4">
        <w:rPr>
          <w:rFonts w:ascii="Palatino Linotype" w:hAnsi="Palatino Linotype" w:cs="Helvetica"/>
          <w:color w:val="000000" w:themeColor="text1"/>
          <w:sz w:val="22"/>
          <w:szCs w:val="22"/>
        </w:rPr>
        <w:t xml:space="preserve"> in quanto i servizi assicurativi non sono elencati tra quelli a maggior rischio di infiltrazione mafiosa di cui al comma 53 art. 1 della L. 190/2012</w:t>
      </w:r>
      <w:r w:rsidR="00E20A9D">
        <w:rPr>
          <w:rFonts w:ascii="Palatino Linotype" w:hAnsi="Palatino Linotype" w:cs="Helvetica"/>
          <w:color w:val="000000" w:themeColor="text1"/>
          <w:sz w:val="22"/>
          <w:szCs w:val="22"/>
        </w:rPr>
        <w:t>. Pertanto, anche alla luce di quanto previsto dall’art. 83, comma 8, ultimo periodo,</w:t>
      </w:r>
      <w:r w:rsidR="00DD38C4" w:rsidRPr="00DD38C4">
        <w:rPr>
          <w:rFonts w:ascii="Palatino Linotype" w:hAnsi="Palatino Linotype" w:cs="Helvetica"/>
          <w:color w:val="000000" w:themeColor="text1"/>
          <w:sz w:val="22"/>
          <w:szCs w:val="22"/>
        </w:rPr>
        <w:t xml:space="preserve"> </w:t>
      </w:r>
      <w:r w:rsidR="00E20A9D">
        <w:rPr>
          <w:rFonts w:ascii="Palatino Linotype" w:hAnsi="Palatino Linotype" w:cs="Helvetica"/>
          <w:color w:val="000000" w:themeColor="text1"/>
          <w:sz w:val="22"/>
          <w:szCs w:val="22"/>
        </w:rPr>
        <w:t xml:space="preserve">del D. </w:t>
      </w:r>
      <w:proofErr w:type="spellStart"/>
      <w:r w:rsidR="00E20A9D">
        <w:rPr>
          <w:rFonts w:ascii="Palatino Linotype" w:hAnsi="Palatino Linotype" w:cs="Helvetica"/>
          <w:color w:val="000000" w:themeColor="text1"/>
          <w:sz w:val="22"/>
          <w:szCs w:val="22"/>
        </w:rPr>
        <w:t>Lgs</w:t>
      </w:r>
      <w:proofErr w:type="spellEnd"/>
      <w:r w:rsidR="00E20A9D">
        <w:rPr>
          <w:rFonts w:ascii="Palatino Linotype" w:hAnsi="Palatino Linotype" w:cs="Helvetica"/>
          <w:color w:val="000000" w:themeColor="text1"/>
          <w:sz w:val="22"/>
          <w:szCs w:val="22"/>
        </w:rPr>
        <w:t xml:space="preserve">. 50/2016 e ss. mm. </w:t>
      </w:r>
      <w:proofErr w:type="gramStart"/>
      <w:r w:rsidR="00E20A9D">
        <w:rPr>
          <w:rFonts w:ascii="Palatino Linotype" w:hAnsi="Palatino Linotype" w:cs="Helvetica"/>
          <w:color w:val="000000" w:themeColor="text1"/>
          <w:sz w:val="22"/>
          <w:szCs w:val="22"/>
        </w:rPr>
        <w:t>ii.,</w:t>
      </w:r>
      <w:proofErr w:type="gramEnd"/>
      <w:r w:rsidR="00E20A9D">
        <w:rPr>
          <w:rFonts w:ascii="Palatino Linotype" w:hAnsi="Palatino Linotype" w:cs="Helvetica"/>
          <w:color w:val="000000" w:themeColor="text1"/>
          <w:sz w:val="22"/>
          <w:szCs w:val="22"/>
        </w:rPr>
        <w:t xml:space="preserve"> </w:t>
      </w:r>
      <w:r w:rsidR="00DD38C4" w:rsidRPr="00DD38C4">
        <w:rPr>
          <w:rFonts w:ascii="Palatino Linotype" w:hAnsi="Palatino Linotype" w:cs="Helvetica"/>
          <w:color w:val="000000" w:themeColor="text1"/>
          <w:sz w:val="22"/>
          <w:szCs w:val="22"/>
        </w:rPr>
        <w:t xml:space="preserve">non è necessario essere iscritti alle c.d. </w:t>
      </w:r>
      <w:proofErr w:type="spellStart"/>
      <w:r w:rsidR="00DD38C4" w:rsidRPr="00DD38C4">
        <w:rPr>
          <w:rFonts w:ascii="Palatino Linotype" w:hAnsi="Palatino Linotype" w:cs="Helvetica"/>
          <w:color w:val="000000" w:themeColor="text1"/>
          <w:sz w:val="22"/>
          <w:szCs w:val="22"/>
        </w:rPr>
        <w:t>white</w:t>
      </w:r>
      <w:proofErr w:type="spellEnd"/>
      <w:r w:rsidR="00DD38C4" w:rsidRPr="00DD38C4">
        <w:rPr>
          <w:rFonts w:ascii="Palatino Linotype" w:hAnsi="Palatino Linotype" w:cs="Helvetica"/>
          <w:color w:val="000000" w:themeColor="text1"/>
          <w:sz w:val="22"/>
          <w:szCs w:val="22"/>
        </w:rPr>
        <w:t xml:space="preserve"> </w:t>
      </w:r>
      <w:r w:rsidR="00E20A9D">
        <w:rPr>
          <w:rFonts w:ascii="Palatino Linotype" w:hAnsi="Palatino Linotype" w:cs="Helvetica"/>
          <w:color w:val="000000" w:themeColor="text1"/>
          <w:sz w:val="22"/>
          <w:szCs w:val="22"/>
        </w:rPr>
        <w:t>list per partecipare alla gara.</w:t>
      </w:r>
    </w:p>
    <w:p w:rsidR="005C0E9F" w:rsidRDefault="005C0E9F" w:rsidP="005C0E9F">
      <w:pPr>
        <w:widowControl w:val="0"/>
        <w:autoSpaceDE w:val="0"/>
        <w:autoSpaceDN w:val="0"/>
        <w:adjustRightInd w:val="0"/>
        <w:spacing w:line="276" w:lineRule="auto"/>
        <w:ind w:right="-1532"/>
        <w:jc w:val="both"/>
        <w:rPr>
          <w:rFonts w:ascii="Palatino Linotype" w:hAnsi="Palatino Linotype" w:cs="Helvetica"/>
          <w:sz w:val="22"/>
          <w:szCs w:val="22"/>
        </w:rPr>
      </w:pPr>
    </w:p>
    <w:p w:rsidR="005C0E9F" w:rsidRPr="0043577F" w:rsidRDefault="005C0E9F" w:rsidP="005C0E9F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ind w:left="0" w:right="-1532"/>
        <w:jc w:val="both"/>
        <w:rPr>
          <w:rFonts w:ascii="Palatino Linotype" w:hAnsi="Palatino Linotype" w:cs="Helvetica"/>
          <w:b/>
          <w:sz w:val="22"/>
          <w:szCs w:val="22"/>
        </w:rPr>
      </w:pPr>
      <w:r w:rsidRPr="0043577F">
        <w:rPr>
          <w:rFonts w:ascii="Palatino Linotype" w:hAnsi="Palatino Linotype" w:cs="Helvetica"/>
          <w:b/>
          <w:sz w:val="22"/>
          <w:szCs w:val="22"/>
        </w:rPr>
        <w:t>Domanda:</w:t>
      </w:r>
    </w:p>
    <w:p w:rsidR="005C0E9F" w:rsidRPr="0043577F" w:rsidRDefault="005C0E9F" w:rsidP="005C0E9F">
      <w:pPr>
        <w:widowControl w:val="0"/>
        <w:autoSpaceDE w:val="0"/>
        <w:autoSpaceDN w:val="0"/>
        <w:adjustRightInd w:val="0"/>
        <w:spacing w:line="276" w:lineRule="auto"/>
        <w:ind w:right="-1532"/>
        <w:jc w:val="both"/>
        <w:rPr>
          <w:rFonts w:ascii="Palatino Linotype" w:hAnsi="Palatino Linotype" w:cs="Helvetica"/>
          <w:sz w:val="22"/>
          <w:szCs w:val="22"/>
        </w:rPr>
      </w:pPr>
      <w:proofErr w:type="gramStart"/>
      <w:r w:rsidRPr="0043577F">
        <w:rPr>
          <w:rFonts w:ascii="Palatino Linotype" w:hAnsi="Palatino Linotype" w:cs="Helvetica"/>
          <w:sz w:val="22"/>
          <w:szCs w:val="22"/>
        </w:rPr>
        <w:t xml:space="preserve">Si  </w:t>
      </w:r>
      <w:r w:rsidR="0051123F">
        <w:rPr>
          <w:rFonts w:ascii="Palatino Linotype" w:hAnsi="Palatino Linotype" w:cs="Helvetica"/>
          <w:sz w:val="22"/>
          <w:szCs w:val="22"/>
        </w:rPr>
        <w:t>richiede</w:t>
      </w:r>
      <w:proofErr w:type="gramEnd"/>
      <w:r w:rsidR="0051123F">
        <w:rPr>
          <w:rFonts w:ascii="Palatino Linotype" w:hAnsi="Palatino Linotype" w:cs="Helvetica"/>
          <w:sz w:val="22"/>
          <w:szCs w:val="22"/>
        </w:rPr>
        <w:t xml:space="preserve"> </w:t>
      </w:r>
      <w:r w:rsidR="00321353">
        <w:rPr>
          <w:rFonts w:ascii="Palatino Linotype" w:hAnsi="Palatino Linotype" w:cs="Helvetica"/>
          <w:sz w:val="22"/>
          <w:szCs w:val="22"/>
        </w:rPr>
        <w:t xml:space="preserve">relativamente ai requisiti di idoneità professionale previsti all’art. 6.1 </w:t>
      </w:r>
      <w:r w:rsidR="002C4F46">
        <w:rPr>
          <w:rFonts w:ascii="Palatino Linotype" w:hAnsi="Palatino Linotype" w:cs="Helvetica"/>
          <w:sz w:val="22"/>
          <w:szCs w:val="22"/>
        </w:rPr>
        <w:t xml:space="preserve">a) </w:t>
      </w:r>
      <w:r w:rsidR="00321353">
        <w:rPr>
          <w:rFonts w:ascii="Palatino Linotype" w:hAnsi="Palatino Linotype" w:cs="Helvetica"/>
          <w:sz w:val="22"/>
          <w:szCs w:val="22"/>
        </w:rPr>
        <w:t xml:space="preserve">per gli operatori economici stabiliti all’estero, se sia sufficiente un certificato di iscrizione alla camera </w:t>
      </w:r>
      <w:r w:rsidR="00321353">
        <w:rPr>
          <w:rFonts w:ascii="Palatino Linotype" w:hAnsi="Palatino Linotype" w:cs="Helvetica"/>
          <w:sz w:val="22"/>
          <w:szCs w:val="22"/>
        </w:rPr>
        <w:lastRenderedPageBreak/>
        <w:t xml:space="preserve">di commercio del paese di appartenenza prodotto in originale o se lo stesso debba essere prodotto in copia conforme accompagnato da traduzione giurata; </w:t>
      </w:r>
    </w:p>
    <w:p w:rsidR="005C0E9F" w:rsidRPr="00321353" w:rsidRDefault="005C0E9F" w:rsidP="005C0E9F">
      <w:pPr>
        <w:widowControl w:val="0"/>
        <w:autoSpaceDE w:val="0"/>
        <w:autoSpaceDN w:val="0"/>
        <w:adjustRightInd w:val="0"/>
        <w:spacing w:line="276" w:lineRule="auto"/>
        <w:ind w:right="-1532"/>
        <w:jc w:val="both"/>
        <w:rPr>
          <w:rFonts w:ascii="Palatino Linotype" w:hAnsi="Palatino Linotype" w:cs="Helvetica"/>
          <w:sz w:val="22"/>
          <w:szCs w:val="22"/>
        </w:rPr>
      </w:pPr>
      <w:r w:rsidRPr="0043577F">
        <w:rPr>
          <w:rFonts w:ascii="Palatino Linotype" w:hAnsi="Palatino Linotype" w:cs="Helvetica"/>
          <w:b/>
          <w:sz w:val="22"/>
          <w:szCs w:val="22"/>
        </w:rPr>
        <w:t xml:space="preserve">Risposta: </w:t>
      </w:r>
      <w:r w:rsidR="00321353" w:rsidRPr="00321353">
        <w:rPr>
          <w:rFonts w:ascii="Palatino Linotype" w:hAnsi="Palatino Linotype" w:cs="Helvetica"/>
          <w:sz w:val="22"/>
          <w:szCs w:val="22"/>
        </w:rPr>
        <w:t>ogni certificazione in li</w:t>
      </w:r>
      <w:r w:rsidR="00321353">
        <w:rPr>
          <w:rFonts w:ascii="Palatino Linotype" w:hAnsi="Palatino Linotype" w:cs="Helvetica"/>
          <w:sz w:val="22"/>
          <w:szCs w:val="22"/>
        </w:rPr>
        <w:t>n</w:t>
      </w:r>
      <w:r w:rsidR="00321353" w:rsidRPr="00321353">
        <w:rPr>
          <w:rFonts w:ascii="Palatino Linotype" w:hAnsi="Palatino Linotype" w:cs="Helvetica"/>
          <w:sz w:val="22"/>
          <w:szCs w:val="22"/>
        </w:rPr>
        <w:t xml:space="preserve">gua straniera deve essere accompagnata da traduzione giurata in lingua italiana. </w:t>
      </w:r>
    </w:p>
    <w:p w:rsidR="005C0E9F" w:rsidRPr="005C0E9F" w:rsidRDefault="005C0E9F" w:rsidP="005C0E9F">
      <w:pPr>
        <w:widowControl w:val="0"/>
        <w:autoSpaceDE w:val="0"/>
        <w:autoSpaceDN w:val="0"/>
        <w:adjustRightInd w:val="0"/>
        <w:spacing w:line="276" w:lineRule="auto"/>
        <w:ind w:right="-1532"/>
        <w:jc w:val="both"/>
        <w:rPr>
          <w:rFonts w:ascii="Palatino Linotype" w:hAnsi="Palatino Linotype" w:cs="Helvetica"/>
          <w:sz w:val="22"/>
          <w:szCs w:val="22"/>
        </w:rPr>
      </w:pPr>
    </w:p>
    <w:p w:rsidR="00321353" w:rsidRPr="0043577F" w:rsidRDefault="00321353" w:rsidP="00321353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ind w:left="0" w:right="-1532"/>
        <w:jc w:val="both"/>
        <w:rPr>
          <w:rFonts w:ascii="Palatino Linotype" w:hAnsi="Palatino Linotype" w:cs="Helvetica"/>
          <w:b/>
          <w:sz w:val="22"/>
          <w:szCs w:val="22"/>
        </w:rPr>
      </w:pPr>
      <w:bookmarkStart w:id="0" w:name="_GoBack"/>
      <w:bookmarkEnd w:id="0"/>
      <w:r w:rsidRPr="0043577F">
        <w:rPr>
          <w:rFonts w:ascii="Palatino Linotype" w:hAnsi="Palatino Linotype" w:cs="Helvetica"/>
          <w:b/>
          <w:sz w:val="22"/>
          <w:szCs w:val="22"/>
        </w:rPr>
        <w:t>Domanda:</w:t>
      </w:r>
    </w:p>
    <w:p w:rsidR="00B7704A" w:rsidRDefault="00321353" w:rsidP="00321353">
      <w:pPr>
        <w:widowControl w:val="0"/>
        <w:autoSpaceDE w:val="0"/>
        <w:autoSpaceDN w:val="0"/>
        <w:adjustRightInd w:val="0"/>
        <w:spacing w:line="276" w:lineRule="auto"/>
        <w:ind w:right="-1532"/>
        <w:jc w:val="both"/>
        <w:rPr>
          <w:rFonts w:ascii="Palatino Linotype" w:hAnsi="Palatino Linotype" w:cs="Helvetica"/>
          <w:sz w:val="22"/>
          <w:szCs w:val="22"/>
        </w:rPr>
      </w:pPr>
      <w:proofErr w:type="gramStart"/>
      <w:r w:rsidRPr="0043577F">
        <w:rPr>
          <w:rFonts w:ascii="Palatino Linotype" w:hAnsi="Palatino Linotype" w:cs="Helvetica"/>
          <w:sz w:val="22"/>
          <w:szCs w:val="22"/>
        </w:rPr>
        <w:t xml:space="preserve">Si  </w:t>
      </w:r>
      <w:r w:rsidR="00DD38C4">
        <w:rPr>
          <w:rFonts w:ascii="Palatino Linotype" w:hAnsi="Palatino Linotype" w:cs="Helvetica"/>
          <w:sz w:val="22"/>
          <w:szCs w:val="22"/>
        </w:rPr>
        <w:t>richiede</w:t>
      </w:r>
      <w:proofErr w:type="gramEnd"/>
      <w:r w:rsidR="00DD38C4">
        <w:rPr>
          <w:rFonts w:ascii="Palatino Linotype" w:hAnsi="Palatino Linotype" w:cs="Helvetica"/>
          <w:sz w:val="22"/>
          <w:szCs w:val="22"/>
        </w:rPr>
        <w:t xml:space="preserve"> relativamente alla comprova dei requisiti dei servizi svolti di cui all’art. 6.3 </w:t>
      </w:r>
      <w:r w:rsidR="00B7704A">
        <w:rPr>
          <w:rFonts w:ascii="Palatino Linotype" w:hAnsi="Palatino Linotype" w:cs="Helvetica"/>
          <w:sz w:val="22"/>
          <w:szCs w:val="22"/>
        </w:rPr>
        <w:t>se sia sufficiente la presentazione delle quietanze di pagamento al posto delle fatture.</w:t>
      </w:r>
    </w:p>
    <w:p w:rsidR="00321353" w:rsidRDefault="00321353" w:rsidP="00321353">
      <w:pPr>
        <w:widowControl w:val="0"/>
        <w:autoSpaceDE w:val="0"/>
        <w:autoSpaceDN w:val="0"/>
        <w:adjustRightInd w:val="0"/>
        <w:spacing w:line="276" w:lineRule="auto"/>
        <w:ind w:right="-1532"/>
        <w:jc w:val="both"/>
        <w:rPr>
          <w:rFonts w:ascii="Palatino Linotype" w:hAnsi="Palatino Linotype" w:cs="Helvetica"/>
          <w:sz w:val="22"/>
          <w:szCs w:val="22"/>
        </w:rPr>
      </w:pPr>
      <w:r w:rsidRPr="0043577F">
        <w:rPr>
          <w:rFonts w:ascii="Palatino Linotype" w:hAnsi="Palatino Linotype" w:cs="Helvetica"/>
          <w:b/>
          <w:sz w:val="22"/>
          <w:szCs w:val="22"/>
        </w:rPr>
        <w:t xml:space="preserve">Risposta: </w:t>
      </w:r>
      <w:r w:rsidRPr="00321353">
        <w:rPr>
          <w:rFonts w:ascii="Palatino Linotype" w:hAnsi="Palatino Linotype" w:cs="Helvetica"/>
          <w:sz w:val="22"/>
          <w:szCs w:val="22"/>
        </w:rPr>
        <w:t xml:space="preserve">ogni </w:t>
      </w:r>
      <w:r w:rsidR="00B7704A">
        <w:rPr>
          <w:rFonts w:ascii="Palatino Linotype" w:hAnsi="Palatino Linotype" w:cs="Helvetica"/>
          <w:sz w:val="22"/>
          <w:szCs w:val="22"/>
        </w:rPr>
        <w:t>servizio svolto può essere dimostrato in uno dei modi descritti nel disciplinare a seconda della disponibilità della documentazione. Le fatture possono essere sostituite da idoneo documento fiscale o quietanza di pagamento.</w:t>
      </w:r>
      <w:r w:rsidRPr="00321353">
        <w:rPr>
          <w:rFonts w:ascii="Palatino Linotype" w:hAnsi="Palatino Linotype" w:cs="Helvetica"/>
          <w:sz w:val="22"/>
          <w:szCs w:val="22"/>
        </w:rPr>
        <w:t xml:space="preserve"> </w:t>
      </w:r>
    </w:p>
    <w:p w:rsidR="00B7704A" w:rsidRDefault="00B7704A" w:rsidP="00321353">
      <w:pPr>
        <w:widowControl w:val="0"/>
        <w:autoSpaceDE w:val="0"/>
        <w:autoSpaceDN w:val="0"/>
        <w:adjustRightInd w:val="0"/>
        <w:spacing w:line="276" w:lineRule="auto"/>
        <w:ind w:right="-1532"/>
        <w:jc w:val="both"/>
        <w:rPr>
          <w:rFonts w:ascii="Palatino Linotype" w:hAnsi="Palatino Linotype" w:cs="Helvetica"/>
          <w:sz w:val="22"/>
          <w:szCs w:val="22"/>
        </w:rPr>
      </w:pPr>
    </w:p>
    <w:p w:rsidR="00B7704A" w:rsidRPr="0043577F" w:rsidRDefault="00B7704A" w:rsidP="00B7704A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ind w:left="0" w:right="-1532"/>
        <w:jc w:val="both"/>
        <w:rPr>
          <w:rFonts w:ascii="Palatino Linotype" w:hAnsi="Palatino Linotype" w:cs="Helvetica"/>
          <w:b/>
          <w:sz w:val="22"/>
          <w:szCs w:val="22"/>
        </w:rPr>
      </w:pPr>
      <w:r w:rsidRPr="0043577F">
        <w:rPr>
          <w:rFonts w:ascii="Palatino Linotype" w:hAnsi="Palatino Linotype" w:cs="Helvetica"/>
          <w:b/>
          <w:sz w:val="22"/>
          <w:szCs w:val="22"/>
        </w:rPr>
        <w:t>Domanda:</w:t>
      </w:r>
    </w:p>
    <w:p w:rsidR="00B7704A" w:rsidRDefault="00B7704A" w:rsidP="00B7704A">
      <w:pPr>
        <w:widowControl w:val="0"/>
        <w:autoSpaceDE w:val="0"/>
        <w:autoSpaceDN w:val="0"/>
        <w:adjustRightInd w:val="0"/>
        <w:spacing w:line="276" w:lineRule="auto"/>
        <w:ind w:right="-1532"/>
        <w:jc w:val="both"/>
        <w:rPr>
          <w:rFonts w:ascii="Palatino Linotype" w:hAnsi="Palatino Linotype" w:cs="Helvetica"/>
          <w:sz w:val="22"/>
          <w:szCs w:val="22"/>
        </w:rPr>
      </w:pPr>
      <w:proofErr w:type="gramStart"/>
      <w:r w:rsidRPr="0043577F">
        <w:rPr>
          <w:rFonts w:ascii="Palatino Linotype" w:hAnsi="Palatino Linotype" w:cs="Helvetica"/>
          <w:sz w:val="22"/>
          <w:szCs w:val="22"/>
        </w:rPr>
        <w:t xml:space="preserve">Si  </w:t>
      </w:r>
      <w:r>
        <w:rPr>
          <w:rFonts w:ascii="Palatino Linotype" w:hAnsi="Palatino Linotype" w:cs="Helvetica"/>
          <w:sz w:val="22"/>
          <w:szCs w:val="22"/>
        </w:rPr>
        <w:t>chiede</w:t>
      </w:r>
      <w:proofErr w:type="gramEnd"/>
      <w:r>
        <w:rPr>
          <w:rFonts w:ascii="Palatino Linotype" w:hAnsi="Palatino Linotype" w:cs="Helvetica"/>
          <w:sz w:val="22"/>
          <w:szCs w:val="22"/>
        </w:rPr>
        <w:t xml:space="preserve">  relativamente alla produzione della polizza fideiussoria se la medesima possa essere prodott</w:t>
      </w:r>
      <w:r w:rsidR="008A043A">
        <w:rPr>
          <w:rFonts w:ascii="Palatino Linotype" w:hAnsi="Palatino Linotype" w:cs="Helvetica"/>
          <w:sz w:val="22"/>
          <w:szCs w:val="22"/>
        </w:rPr>
        <w:t>a</w:t>
      </w:r>
      <w:r>
        <w:rPr>
          <w:rFonts w:ascii="Palatino Linotype" w:hAnsi="Palatino Linotype" w:cs="Helvetica"/>
          <w:sz w:val="22"/>
          <w:szCs w:val="22"/>
        </w:rPr>
        <w:t xml:space="preserve"> in formato elettronico firmata digitalmente piuttosto che in originale.</w:t>
      </w:r>
    </w:p>
    <w:p w:rsidR="00B7704A" w:rsidRPr="008A043A" w:rsidRDefault="00B7704A" w:rsidP="00321353">
      <w:pPr>
        <w:widowControl w:val="0"/>
        <w:autoSpaceDE w:val="0"/>
        <w:autoSpaceDN w:val="0"/>
        <w:adjustRightInd w:val="0"/>
        <w:spacing w:line="276" w:lineRule="auto"/>
        <w:ind w:right="-1532"/>
        <w:jc w:val="both"/>
        <w:rPr>
          <w:rFonts w:ascii="Palatino Linotype" w:hAnsi="Palatino Linotype" w:cs="Helvetica"/>
          <w:sz w:val="22"/>
          <w:szCs w:val="22"/>
        </w:rPr>
      </w:pPr>
      <w:r w:rsidRPr="0043577F">
        <w:rPr>
          <w:rFonts w:ascii="Palatino Linotype" w:hAnsi="Palatino Linotype" w:cs="Helvetica"/>
          <w:b/>
          <w:sz w:val="22"/>
          <w:szCs w:val="22"/>
        </w:rPr>
        <w:t xml:space="preserve">Risposta: </w:t>
      </w:r>
      <w:r w:rsidRPr="008A043A">
        <w:rPr>
          <w:rFonts w:ascii="Palatino Linotype" w:hAnsi="Palatino Linotype" w:cs="Helvetica"/>
          <w:sz w:val="22"/>
          <w:szCs w:val="22"/>
        </w:rPr>
        <w:t xml:space="preserve">trattandosi di una gara non telematica, tutta la documentazione di gara deve essere inserita </w:t>
      </w:r>
      <w:r w:rsidR="008A043A" w:rsidRPr="008A043A">
        <w:rPr>
          <w:rFonts w:ascii="Palatino Linotype" w:hAnsi="Palatino Linotype" w:cs="Helvetica"/>
          <w:sz w:val="22"/>
          <w:szCs w:val="22"/>
        </w:rPr>
        <w:t xml:space="preserve">nel plico, secondo quanto indicato nel disciplinare. Tuttavia può essere inoltrata copia informatica su supporto CD della polizza firmata digitalmente unitamente ad una copia a stampa. </w:t>
      </w:r>
    </w:p>
    <w:p w:rsidR="00B7704A" w:rsidRPr="00321353" w:rsidRDefault="00B7704A" w:rsidP="00321353">
      <w:pPr>
        <w:widowControl w:val="0"/>
        <w:autoSpaceDE w:val="0"/>
        <w:autoSpaceDN w:val="0"/>
        <w:adjustRightInd w:val="0"/>
        <w:spacing w:line="276" w:lineRule="auto"/>
        <w:ind w:right="-1532"/>
        <w:jc w:val="both"/>
        <w:rPr>
          <w:rFonts w:ascii="Palatino Linotype" w:hAnsi="Palatino Linotype" w:cs="Helvetica"/>
          <w:sz w:val="22"/>
          <w:szCs w:val="22"/>
        </w:rPr>
      </w:pPr>
    </w:p>
    <w:p w:rsidR="00D90AF2" w:rsidRPr="0043577F" w:rsidRDefault="00D90AF2" w:rsidP="009A02AC">
      <w:pPr>
        <w:widowControl w:val="0"/>
        <w:autoSpaceDE w:val="0"/>
        <w:autoSpaceDN w:val="0"/>
        <w:adjustRightInd w:val="0"/>
        <w:ind w:right="-1532"/>
        <w:jc w:val="both"/>
        <w:rPr>
          <w:rFonts w:ascii="Palatino Linotype" w:hAnsi="Palatino Linotype" w:cs="Helvetica"/>
          <w:bCs/>
          <w:i/>
          <w:iCs/>
          <w:sz w:val="22"/>
          <w:szCs w:val="22"/>
        </w:rPr>
      </w:pPr>
    </w:p>
    <w:p w:rsidR="009A02AC" w:rsidRDefault="009A02AC" w:rsidP="009A02AC">
      <w:pPr>
        <w:pStyle w:val="Default"/>
        <w:ind w:right="-1532"/>
        <w:rPr>
          <w:rFonts w:ascii="Palatino Linotype" w:hAnsi="Palatino Linotype"/>
          <w:sz w:val="22"/>
          <w:szCs w:val="22"/>
        </w:rPr>
      </w:pPr>
    </w:p>
    <w:p w:rsidR="00D90AF2" w:rsidRPr="00D90AF2" w:rsidRDefault="00D90AF2" w:rsidP="009A02AC">
      <w:pPr>
        <w:pStyle w:val="Default"/>
        <w:ind w:right="-1532"/>
        <w:jc w:val="right"/>
        <w:rPr>
          <w:rFonts w:ascii="Palatino Linotype" w:hAnsi="Palatino Linotype"/>
          <w:sz w:val="22"/>
          <w:szCs w:val="22"/>
        </w:rPr>
      </w:pPr>
      <w:r w:rsidRPr="00D90AF2">
        <w:rPr>
          <w:rFonts w:ascii="Palatino Linotype" w:hAnsi="Palatino Linotype"/>
          <w:sz w:val="22"/>
          <w:szCs w:val="22"/>
        </w:rPr>
        <w:t xml:space="preserve">F.to Il Responsabile del Procedimento </w:t>
      </w:r>
    </w:p>
    <w:p w:rsidR="00D90AF2" w:rsidRPr="009A02AC" w:rsidRDefault="009A02AC" w:rsidP="009A02AC">
      <w:pPr>
        <w:widowControl w:val="0"/>
        <w:autoSpaceDE w:val="0"/>
        <w:autoSpaceDN w:val="0"/>
        <w:adjustRightInd w:val="0"/>
        <w:ind w:left="4956" w:right="-1532" w:firstLine="708"/>
        <w:jc w:val="center"/>
        <w:rPr>
          <w:rFonts w:ascii="Palatino Linotype" w:hAnsi="Palatino Linotype" w:cs="Calibri"/>
          <w:color w:val="000000"/>
          <w:sz w:val="22"/>
          <w:szCs w:val="22"/>
        </w:rPr>
      </w:pPr>
      <w:r w:rsidRPr="009A02AC">
        <w:rPr>
          <w:rFonts w:ascii="Palatino Linotype" w:hAnsi="Palatino Linotype" w:cs="Calibri"/>
          <w:color w:val="000000"/>
          <w:sz w:val="22"/>
          <w:szCs w:val="22"/>
        </w:rPr>
        <w:t xml:space="preserve"> Arch. Enzo Paolo Petruzzi</w:t>
      </w:r>
    </w:p>
    <w:sectPr w:rsidR="00D90AF2" w:rsidRPr="009A02AC" w:rsidSect="00CE6585">
      <w:headerReference w:type="default" r:id="rId7"/>
      <w:pgSz w:w="11906" w:h="16838"/>
      <w:pgMar w:top="1418" w:right="2835" w:bottom="1162" w:left="1531" w:header="56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524" w:rsidRDefault="00041524" w:rsidP="003709A0">
      <w:r>
        <w:separator/>
      </w:r>
    </w:p>
  </w:endnote>
  <w:endnote w:type="continuationSeparator" w:id="0">
    <w:p w:rsidR="00041524" w:rsidRDefault="00041524" w:rsidP="00370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524" w:rsidRDefault="00041524" w:rsidP="003709A0">
      <w:r>
        <w:separator/>
      </w:r>
    </w:p>
  </w:footnote>
  <w:footnote w:type="continuationSeparator" w:id="0">
    <w:p w:rsidR="00041524" w:rsidRDefault="00041524" w:rsidP="00370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78" w:type="dxa"/>
      <w:tblLayout w:type="fixed"/>
      <w:tblLook w:val="01E0" w:firstRow="1" w:lastRow="1" w:firstColumn="1" w:lastColumn="1" w:noHBand="0" w:noVBand="0"/>
    </w:tblPr>
    <w:tblGrid>
      <w:gridCol w:w="2692"/>
      <w:gridCol w:w="3345"/>
      <w:gridCol w:w="3941"/>
    </w:tblGrid>
    <w:tr w:rsidR="003709A0" w:rsidTr="00DC0191">
      <w:tc>
        <w:tcPr>
          <w:tcW w:w="2692" w:type="dxa"/>
          <w:vAlign w:val="center"/>
        </w:tcPr>
        <w:p w:rsidR="003709A0" w:rsidRDefault="003709A0" w:rsidP="00DC0191">
          <w:pPr>
            <w:pStyle w:val="Intestazione"/>
            <w:ind w:left="-674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it-IT"/>
            </w:rPr>
            <w:drawing>
              <wp:inline distT="0" distB="0" distL="0" distR="0" wp14:anchorId="5F9D28DC" wp14:editId="2B355D95">
                <wp:extent cx="1252855" cy="592455"/>
                <wp:effectExtent l="0" t="0" r="0" b="0"/>
                <wp:docPr id="51" name="Immagine 51" descr="RB_marchio_350x1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0" descr="RB_marchio_350x16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2855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5" w:type="dxa"/>
          <w:vAlign w:val="center"/>
        </w:tcPr>
        <w:p w:rsidR="003709A0" w:rsidRPr="00ED159D" w:rsidRDefault="003709A0" w:rsidP="00DC0191">
          <w:pPr>
            <w:ind w:right="57"/>
            <w:rPr>
              <w:rFonts w:ascii="Trebuchet MS" w:hAnsi="Trebuchet MS" w:cs="Arial"/>
              <w:b/>
              <w:caps/>
              <w:sz w:val="16"/>
              <w:szCs w:val="16"/>
            </w:rPr>
          </w:pPr>
          <w:r w:rsidRPr="00ED159D">
            <w:rPr>
              <w:rFonts w:ascii="Trebuchet MS" w:hAnsi="Trebuchet MS" w:cs="Arial"/>
              <w:b/>
              <w:caps/>
              <w:sz w:val="16"/>
              <w:szCs w:val="16"/>
            </w:rPr>
            <w:t xml:space="preserve">dipartimento </w:t>
          </w:r>
        </w:p>
        <w:p w:rsidR="003709A0" w:rsidRPr="00ED159D" w:rsidRDefault="003709A0" w:rsidP="00DC0191">
          <w:pPr>
            <w:ind w:right="57"/>
            <w:rPr>
              <w:rFonts w:ascii="Trebuchet MS" w:hAnsi="Trebuchet MS" w:cs="Arial"/>
              <w:b/>
              <w:smallCaps/>
              <w:sz w:val="16"/>
              <w:szCs w:val="16"/>
            </w:rPr>
          </w:pPr>
          <w:r w:rsidRPr="00ED159D">
            <w:rPr>
              <w:rFonts w:ascii="Trebuchet MS" w:hAnsi="Trebuchet MS" w:cs="Arial"/>
              <w:b/>
              <w:caps/>
              <w:sz w:val="16"/>
              <w:szCs w:val="16"/>
            </w:rPr>
            <w:t>Stazione Unica APPALTANTE SUA-RB</w:t>
          </w:r>
        </w:p>
        <w:p w:rsidR="003709A0" w:rsidRDefault="003709A0" w:rsidP="00DC0191">
          <w:pPr>
            <w:rPr>
              <w:rFonts w:ascii="Trebuchet MS" w:hAnsi="Trebuchet MS" w:cs="Arial"/>
              <w:caps/>
              <w:sz w:val="17"/>
              <w:szCs w:val="20"/>
            </w:rPr>
          </w:pPr>
          <w:r w:rsidRPr="00ED159D">
            <w:rPr>
              <w:rFonts w:ascii="Trebuchet MS" w:hAnsi="Trebuchet MS" w:cs="Arial"/>
              <w:caps/>
              <w:sz w:val="16"/>
              <w:szCs w:val="16"/>
            </w:rPr>
            <w:t xml:space="preserve">UFFICIO </w:t>
          </w:r>
          <w:r>
            <w:rPr>
              <w:rFonts w:ascii="Trebuchet MS" w:hAnsi="Trebuchet MS" w:cs="Arial"/>
              <w:caps/>
              <w:sz w:val="16"/>
              <w:szCs w:val="16"/>
            </w:rPr>
            <w:t>APPALTI DI SERVIZI E FORNITURE</w:t>
          </w:r>
        </w:p>
        <w:p w:rsidR="003709A0" w:rsidRDefault="003709A0" w:rsidP="00DC0191">
          <w:pPr>
            <w:rPr>
              <w:rFonts w:ascii="Trebuchet MS" w:hAnsi="Trebuchet MS" w:cs="Arial"/>
              <w:caps/>
              <w:sz w:val="17"/>
              <w:szCs w:val="20"/>
            </w:rPr>
          </w:pPr>
        </w:p>
      </w:tc>
      <w:tc>
        <w:tcPr>
          <w:tcW w:w="3941" w:type="dxa"/>
          <w:vAlign w:val="center"/>
        </w:tcPr>
        <w:p w:rsidR="003709A0" w:rsidRDefault="003709A0" w:rsidP="00DC0191">
          <w:pPr>
            <w:pStyle w:val="Intestazione"/>
            <w:rPr>
              <w:rFonts w:ascii="Trebuchet MS" w:hAnsi="Trebuchet MS" w:cs="Arial"/>
              <w:sz w:val="14"/>
              <w:szCs w:val="14"/>
            </w:rPr>
          </w:pPr>
          <w:r>
            <w:rPr>
              <w:rFonts w:ascii="Trebuchet MS" w:hAnsi="Trebuchet MS" w:cs="Arial"/>
              <w:sz w:val="14"/>
              <w:szCs w:val="14"/>
            </w:rPr>
            <w:t xml:space="preserve">Via Vincenzo </w:t>
          </w:r>
          <w:proofErr w:type="spellStart"/>
          <w:r>
            <w:rPr>
              <w:rFonts w:ascii="Trebuchet MS" w:hAnsi="Trebuchet MS" w:cs="Arial"/>
              <w:sz w:val="14"/>
              <w:szCs w:val="14"/>
            </w:rPr>
            <w:t>Verrastro</w:t>
          </w:r>
          <w:proofErr w:type="spellEnd"/>
          <w:r>
            <w:rPr>
              <w:rFonts w:ascii="Trebuchet MS" w:hAnsi="Trebuchet MS" w:cs="Arial"/>
              <w:sz w:val="14"/>
              <w:szCs w:val="14"/>
            </w:rPr>
            <w:t>, 4 - 85100 POTENZA</w:t>
          </w:r>
        </w:p>
        <w:p w:rsidR="003709A0" w:rsidRPr="00ED159D" w:rsidRDefault="003709A0" w:rsidP="00DC0191">
          <w:pPr>
            <w:rPr>
              <w:rFonts w:ascii="Trebuchet MS" w:hAnsi="Trebuchet MS" w:cs="Arial"/>
              <w:sz w:val="14"/>
              <w:szCs w:val="14"/>
            </w:rPr>
          </w:pPr>
          <w:r>
            <w:rPr>
              <w:rFonts w:ascii="Trebuchet MS" w:hAnsi="Trebuchet MS" w:cs="Arial"/>
              <w:sz w:val="14"/>
              <w:szCs w:val="14"/>
            </w:rPr>
            <w:t>Tel.: +39 0971668307 P.E.C.</w:t>
          </w:r>
          <w:r>
            <w:rPr>
              <w:rStyle w:val="Collegamentoipertestuale"/>
              <w:rFonts w:ascii="Trebuchet MS" w:hAnsi="Trebuchet MS"/>
              <w:sz w:val="14"/>
              <w:szCs w:val="14"/>
            </w:rPr>
            <w:t xml:space="preserve"> </w:t>
          </w:r>
          <w:r w:rsidRPr="006E1653">
            <w:rPr>
              <w:rStyle w:val="Collegamentoipertestuale"/>
              <w:rFonts w:ascii="Trebuchet MS" w:hAnsi="Trebuchet MS"/>
              <w:sz w:val="14"/>
              <w:szCs w:val="14"/>
            </w:rPr>
            <w:t>ufficio.appalti.servizi.forniture@cert.regione.basilicata.it</w:t>
          </w:r>
        </w:p>
      </w:tc>
    </w:tr>
  </w:tbl>
  <w:p w:rsidR="003709A0" w:rsidRDefault="003709A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041A"/>
    <w:multiLevelType w:val="hybridMultilevel"/>
    <w:tmpl w:val="1C622B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25644"/>
    <w:multiLevelType w:val="hybridMultilevel"/>
    <w:tmpl w:val="6CB4D05E"/>
    <w:lvl w:ilvl="0" w:tplc="3FAAE2DC">
      <w:start w:val="1"/>
      <w:numFmt w:val="bullet"/>
      <w:lvlText w:val=""/>
      <w:lvlJc w:val="left"/>
      <w:pPr>
        <w:ind w:left="13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2" w15:restartNumberingAfterBreak="0">
    <w:nsid w:val="2E00665D"/>
    <w:multiLevelType w:val="hybridMultilevel"/>
    <w:tmpl w:val="8ABCBA64"/>
    <w:lvl w:ilvl="0" w:tplc="D584E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5551D"/>
    <w:multiLevelType w:val="hybridMultilevel"/>
    <w:tmpl w:val="E604D584"/>
    <w:lvl w:ilvl="0" w:tplc="D584E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9A0"/>
    <w:rsid w:val="00036C5A"/>
    <w:rsid w:val="00041524"/>
    <w:rsid w:val="00087DC6"/>
    <w:rsid w:val="000C08BA"/>
    <w:rsid w:val="00132419"/>
    <w:rsid w:val="001A2E7A"/>
    <w:rsid w:val="00284E21"/>
    <w:rsid w:val="002C4F46"/>
    <w:rsid w:val="00302EE7"/>
    <w:rsid w:val="00303879"/>
    <w:rsid w:val="00317F2B"/>
    <w:rsid w:val="00321353"/>
    <w:rsid w:val="003709A0"/>
    <w:rsid w:val="003D0493"/>
    <w:rsid w:val="0043577F"/>
    <w:rsid w:val="00492FB0"/>
    <w:rsid w:val="0051123F"/>
    <w:rsid w:val="005C0E9F"/>
    <w:rsid w:val="006C462E"/>
    <w:rsid w:val="00781B94"/>
    <w:rsid w:val="008A043A"/>
    <w:rsid w:val="0095641E"/>
    <w:rsid w:val="0096634D"/>
    <w:rsid w:val="009A02AC"/>
    <w:rsid w:val="00B7704A"/>
    <w:rsid w:val="00C83433"/>
    <w:rsid w:val="00CB3975"/>
    <w:rsid w:val="00CE6585"/>
    <w:rsid w:val="00D90AF2"/>
    <w:rsid w:val="00DD38C4"/>
    <w:rsid w:val="00E20A9D"/>
    <w:rsid w:val="00E9657E"/>
    <w:rsid w:val="00F9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709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709A0"/>
  </w:style>
  <w:style w:type="paragraph" w:styleId="Pidipagina">
    <w:name w:val="footer"/>
    <w:basedOn w:val="Normale"/>
    <w:link w:val="PidipaginaCarattere"/>
    <w:uiPriority w:val="99"/>
    <w:unhideWhenUsed/>
    <w:rsid w:val="003709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09A0"/>
  </w:style>
  <w:style w:type="character" w:styleId="Collegamentoipertestuale">
    <w:name w:val="Hyperlink"/>
    <w:semiHidden/>
    <w:rsid w:val="003709A0"/>
    <w:rPr>
      <w:color w:val="0000FF"/>
      <w:u w:val="single"/>
    </w:rPr>
  </w:style>
  <w:style w:type="paragraph" w:customStyle="1" w:styleId="Default">
    <w:name w:val="Default"/>
    <w:rsid w:val="003709A0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uiPriority w:val="34"/>
    <w:qFormat/>
    <w:rsid w:val="00370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8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Petruzzi Enzo Paolo</cp:lastModifiedBy>
  <cp:revision>3</cp:revision>
  <dcterms:created xsi:type="dcterms:W3CDTF">2018-01-10T10:33:00Z</dcterms:created>
  <dcterms:modified xsi:type="dcterms:W3CDTF">2018-01-11T10:18:00Z</dcterms:modified>
</cp:coreProperties>
</file>