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4CAB" w14:textId="77777777" w:rsidR="00904936" w:rsidRDefault="00904936" w:rsidP="00904936">
      <w:pPr>
        <w:widowControl w:val="0"/>
        <w:spacing w:after="60"/>
        <w:rPr>
          <w:rFonts w:ascii="Titillium" w:hAnsi="Titillium"/>
          <w:b/>
          <w:sz w:val="36"/>
          <w:szCs w:val="36"/>
        </w:rPr>
      </w:pPr>
      <w:bookmarkStart w:id="0" w:name="_Hlk126843357"/>
      <w:bookmarkStart w:id="1" w:name="_Toc428871109"/>
      <w:bookmarkStart w:id="2" w:name="_Toc432084354"/>
      <w:bookmarkStart w:id="3" w:name="_Toc442357320"/>
    </w:p>
    <w:p w14:paraId="22D2034E" w14:textId="77777777" w:rsidR="00904936" w:rsidRDefault="00904936" w:rsidP="00904936">
      <w:pPr>
        <w:widowControl w:val="0"/>
        <w:spacing w:after="60"/>
        <w:rPr>
          <w:rFonts w:ascii="Titillium" w:hAnsi="Titillium"/>
          <w:b/>
          <w:sz w:val="36"/>
          <w:szCs w:val="36"/>
        </w:rPr>
      </w:pPr>
    </w:p>
    <w:p w14:paraId="6DD5903D" w14:textId="77777777" w:rsidR="00904936" w:rsidRDefault="00904936" w:rsidP="00904936">
      <w:pPr>
        <w:widowControl w:val="0"/>
        <w:spacing w:after="60"/>
        <w:rPr>
          <w:rFonts w:ascii="Titillium" w:hAnsi="Titillium"/>
          <w:b/>
          <w:sz w:val="36"/>
          <w:szCs w:val="36"/>
        </w:rPr>
      </w:pPr>
    </w:p>
    <w:p w14:paraId="350B6A40" w14:textId="77777777" w:rsidR="00904936" w:rsidRDefault="00904936" w:rsidP="00904936">
      <w:pPr>
        <w:widowControl w:val="0"/>
        <w:spacing w:after="60"/>
        <w:rPr>
          <w:rFonts w:ascii="Titillium" w:hAnsi="Titillium"/>
          <w:b/>
          <w:sz w:val="36"/>
          <w:szCs w:val="36"/>
        </w:rPr>
      </w:pPr>
    </w:p>
    <w:p w14:paraId="11F7D6EB" w14:textId="77777777" w:rsidR="00904936" w:rsidRPr="00917ECC" w:rsidRDefault="00904936" w:rsidP="00904936">
      <w:pPr>
        <w:widowControl w:val="0"/>
        <w:spacing w:line="23" w:lineRule="atLeast"/>
        <w:ind w:left="567"/>
        <w:jc w:val="center"/>
        <w:rPr>
          <w:rFonts w:ascii="Titillium" w:hAnsi="Titillium"/>
          <w:b/>
          <w:sz w:val="24"/>
          <w:szCs w:val="24"/>
        </w:rPr>
      </w:pPr>
      <w:r w:rsidRPr="00B36AFD">
        <w:rPr>
          <w:rFonts w:ascii="Titillium" w:hAnsi="Titillium"/>
          <w:b/>
          <w:sz w:val="24"/>
          <w:szCs w:val="24"/>
        </w:rPr>
        <w:t>DICHIARAZIONE DELL’IMPRESA AUSILIARIA</w:t>
      </w:r>
    </w:p>
    <w:p w14:paraId="6BFCBBA7" w14:textId="77777777" w:rsidR="00904936" w:rsidRPr="00917ECC" w:rsidRDefault="00904936" w:rsidP="00904936">
      <w:pPr>
        <w:widowControl w:val="0"/>
        <w:spacing w:line="23" w:lineRule="atLeast"/>
        <w:ind w:left="567"/>
        <w:jc w:val="center"/>
        <w:rPr>
          <w:rFonts w:ascii="Titillium" w:hAnsi="Titillium"/>
          <w:b/>
          <w:sz w:val="24"/>
          <w:szCs w:val="24"/>
        </w:rPr>
      </w:pPr>
    </w:p>
    <w:p w14:paraId="59B7DE0B" w14:textId="77777777" w:rsidR="00904936" w:rsidRPr="00917ECC" w:rsidRDefault="00904936" w:rsidP="00904936">
      <w:pPr>
        <w:widowControl w:val="0"/>
        <w:spacing w:line="23" w:lineRule="atLeast"/>
        <w:ind w:left="567"/>
        <w:jc w:val="center"/>
        <w:rPr>
          <w:rFonts w:ascii="Titillium" w:hAnsi="Titillium"/>
          <w:b/>
          <w:sz w:val="24"/>
          <w:szCs w:val="24"/>
        </w:rPr>
      </w:pPr>
      <w:r w:rsidRPr="00917ECC">
        <w:rPr>
          <w:rFonts w:ascii="Titillium" w:hAnsi="Titillium"/>
          <w:b/>
          <w:sz w:val="24"/>
          <w:szCs w:val="24"/>
        </w:rPr>
        <w:t xml:space="preserve">ALLEGATO </w:t>
      </w:r>
      <w:r>
        <w:rPr>
          <w:rFonts w:ascii="Titillium" w:hAnsi="Titillium"/>
          <w:b/>
          <w:sz w:val="24"/>
          <w:szCs w:val="24"/>
        </w:rPr>
        <w:t>4.</w:t>
      </w:r>
      <w:r w:rsidRPr="00917ECC">
        <w:rPr>
          <w:rFonts w:ascii="Titillium" w:hAnsi="Titillium"/>
          <w:b/>
          <w:sz w:val="24"/>
          <w:szCs w:val="24"/>
        </w:rPr>
        <w:t>1</w:t>
      </w:r>
    </w:p>
    <w:p w14:paraId="7DCE26E1" w14:textId="77777777" w:rsidR="00904936" w:rsidRDefault="00904936" w:rsidP="00904936">
      <w:pPr>
        <w:widowControl w:val="0"/>
        <w:spacing w:line="23" w:lineRule="atLeast"/>
        <w:ind w:left="567"/>
        <w:rPr>
          <w:rFonts w:ascii="Titillium" w:hAnsi="Titillium"/>
          <w:b/>
          <w:sz w:val="24"/>
          <w:szCs w:val="24"/>
        </w:rPr>
      </w:pPr>
    </w:p>
    <w:p w14:paraId="68B6929A" w14:textId="77777777" w:rsidR="00904936" w:rsidRPr="00917ECC" w:rsidRDefault="00904936" w:rsidP="00904936">
      <w:pPr>
        <w:widowControl w:val="0"/>
        <w:spacing w:line="23" w:lineRule="atLeast"/>
        <w:ind w:left="567"/>
        <w:rPr>
          <w:rFonts w:ascii="Titillium" w:hAnsi="Titillium"/>
          <w:b/>
          <w:sz w:val="24"/>
          <w:szCs w:val="24"/>
        </w:rPr>
      </w:pPr>
    </w:p>
    <w:p w14:paraId="3F230A5E" w14:textId="77777777" w:rsidR="00904936" w:rsidRPr="00917ECC" w:rsidRDefault="00904936" w:rsidP="00904936">
      <w:pPr>
        <w:widowControl w:val="0"/>
        <w:spacing w:line="23" w:lineRule="atLeast"/>
        <w:ind w:left="567"/>
        <w:rPr>
          <w:rFonts w:ascii="Titillium" w:hAnsi="Titillium"/>
          <w:b/>
          <w:sz w:val="24"/>
          <w:szCs w:val="24"/>
        </w:rPr>
      </w:pPr>
    </w:p>
    <w:p w14:paraId="3E518B9E" w14:textId="77777777" w:rsidR="00904936" w:rsidRPr="00917ECC" w:rsidRDefault="00904936" w:rsidP="00904936">
      <w:pPr>
        <w:widowControl w:val="0"/>
        <w:spacing w:line="23" w:lineRule="atLeast"/>
        <w:ind w:left="567"/>
        <w:rPr>
          <w:rFonts w:ascii="Titillium" w:hAnsi="Titillium"/>
          <w:b/>
          <w:sz w:val="24"/>
          <w:szCs w:val="24"/>
        </w:rPr>
      </w:pPr>
      <w:bookmarkStart w:id="4" w:name="_Hlk114755245"/>
      <w:r w:rsidRPr="00917ECC">
        <w:rPr>
          <w:rFonts w:ascii="Titillium" w:hAnsi="Titillium"/>
          <w:b/>
          <w:sz w:val="24"/>
          <w:szCs w:val="24"/>
        </w:rPr>
        <w:t xml:space="preserve">Procedura </w:t>
      </w:r>
      <w:bookmarkStart w:id="5" w:name="_Hlk126745315"/>
      <w:r w:rsidRPr="00917ECC">
        <w:rPr>
          <w:rFonts w:ascii="Titillium" w:hAnsi="Titillium"/>
          <w:b/>
          <w:sz w:val="24"/>
          <w:szCs w:val="24"/>
        </w:rPr>
        <w:t>telematica aperta per l’affidamento quinquennale della fornitura di sistemi di infusione occorrenti all’AOR “San Carlo” di Potenza e all’ASM</w:t>
      </w:r>
      <w:bookmarkEnd w:id="5"/>
      <w:r w:rsidRPr="00917ECC">
        <w:rPr>
          <w:rFonts w:ascii="Titillium" w:hAnsi="Titillium"/>
          <w:b/>
          <w:sz w:val="24"/>
          <w:szCs w:val="24"/>
        </w:rPr>
        <w:t>.</w:t>
      </w:r>
      <w:bookmarkEnd w:id="4"/>
    </w:p>
    <w:p w14:paraId="59661393" w14:textId="77777777" w:rsidR="00904936" w:rsidRPr="00917ECC" w:rsidRDefault="00904936" w:rsidP="00904936">
      <w:pPr>
        <w:widowControl w:val="0"/>
        <w:spacing w:line="23" w:lineRule="atLeast"/>
        <w:ind w:left="567"/>
        <w:rPr>
          <w:rFonts w:ascii="Titillium" w:hAnsi="Titillium"/>
          <w:b/>
          <w:sz w:val="24"/>
          <w:szCs w:val="24"/>
        </w:rPr>
      </w:pPr>
    </w:p>
    <w:p w14:paraId="3C09CCD0" w14:textId="77777777" w:rsidR="00904936" w:rsidRPr="00917ECC" w:rsidRDefault="00904936" w:rsidP="00904936">
      <w:pPr>
        <w:widowControl w:val="0"/>
        <w:spacing w:line="23" w:lineRule="atLeast"/>
        <w:ind w:left="567"/>
        <w:rPr>
          <w:rFonts w:ascii="Titillium" w:hAnsi="Titillium"/>
          <w:b/>
          <w:sz w:val="24"/>
          <w:szCs w:val="24"/>
        </w:rPr>
      </w:pPr>
    </w:p>
    <w:p w14:paraId="5F031C4E" w14:textId="77777777" w:rsidR="00904936" w:rsidRPr="00917ECC" w:rsidRDefault="00904936" w:rsidP="00904936">
      <w:pPr>
        <w:keepNext/>
        <w:spacing w:before="120" w:after="120"/>
        <w:jc w:val="center"/>
        <w:rPr>
          <w:rFonts w:ascii="Garamond" w:hAnsi="Garamond" w:cs="Arial"/>
          <w:b/>
          <w:bCs/>
          <w:color w:val="000000"/>
          <w:sz w:val="24"/>
          <w:szCs w:val="24"/>
          <w:lang w:eastAsia="en-US"/>
        </w:rPr>
      </w:pPr>
      <w:r w:rsidRPr="00917ECC">
        <w:rPr>
          <w:rFonts w:ascii="Titillium" w:hAnsi="Titillium"/>
          <w:b/>
          <w:sz w:val="24"/>
          <w:szCs w:val="24"/>
        </w:rPr>
        <w:t xml:space="preserve">SIMOG N. </w:t>
      </w:r>
      <w:r>
        <w:rPr>
          <w:rFonts w:ascii="Titillium" w:hAnsi="Titillium"/>
          <w:b/>
          <w:sz w:val="24"/>
          <w:szCs w:val="24"/>
        </w:rPr>
        <w:t>8960693</w:t>
      </w:r>
    </w:p>
    <w:p w14:paraId="1561C6E3" w14:textId="77777777" w:rsidR="00904936" w:rsidRPr="00917ECC" w:rsidRDefault="00904936" w:rsidP="00904936">
      <w:pPr>
        <w:keepNext/>
        <w:spacing w:before="120" w:after="120"/>
        <w:jc w:val="center"/>
        <w:rPr>
          <w:rFonts w:ascii="Garamond" w:hAnsi="Garamond" w:cs="Arial"/>
          <w:b/>
          <w:bCs/>
          <w:color w:val="000000"/>
          <w:sz w:val="24"/>
          <w:szCs w:val="24"/>
          <w:lang w:eastAsia="en-US"/>
        </w:rPr>
      </w:pPr>
    </w:p>
    <w:p w14:paraId="6317B12E" w14:textId="77777777" w:rsidR="00904936" w:rsidRPr="00FA11BF" w:rsidRDefault="00904936" w:rsidP="00904936">
      <w:pPr>
        <w:widowControl w:val="0"/>
        <w:spacing w:after="60" w:line="276" w:lineRule="auto"/>
        <w:rPr>
          <w:rFonts w:ascii="Garamond" w:eastAsia="Times New Roman" w:hAnsi="Garamond"/>
          <w:b/>
          <w:sz w:val="36"/>
          <w:szCs w:val="36"/>
        </w:rPr>
      </w:pPr>
    </w:p>
    <w:bookmarkEnd w:id="0"/>
    <w:p w14:paraId="1EF50CD3" w14:textId="77777777" w:rsidR="00904936" w:rsidRDefault="00904936" w:rsidP="00904936">
      <w:pPr>
        <w:autoSpaceDE w:val="0"/>
        <w:autoSpaceDN w:val="0"/>
        <w:adjustRightInd w:val="0"/>
        <w:ind w:left="4248" w:firstLine="708"/>
      </w:pPr>
      <w:r w:rsidRPr="007A22DB">
        <w:br w:type="page"/>
      </w:r>
    </w:p>
    <w:p w14:paraId="39F9CFB2" w14:textId="77777777" w:rsidR="00904936" w:rsidRDefault="00904936" w:rsidP="00904936">
      <w:pPr>
        <w:autoSpaceDE w:val="0"/>
        <w:autoSpaceDN w:val="0"/>
        <w:adjustRightInd w:val="0"/>
        <w:ind w:left="4248" w:firstLine="708"/>
      </w:pPr>
    </w:p>
    <w:p w14:paraId="3FA1BFB9" w14:textId="77777777" w:rsidR="00904936" w:rsidRPr="006014A2" w:rsidRDefault="00904936" w:rsidP="00904936">
      <w:pPr>
        <w:autoSpaceDE w:val="0"/>
        <w:autoSpaceDN w:val="0"/>
        <w:adjustRightInd w:val="0"/>
        <w:ind w:left="3544" w:firstLine="708"/>
        <w:rPr>
          <w:rFonts w:ascii="Titillium" w:hAnsi="Titillium" w:cs="Arial"/>
          <w:sz w:val="18"/>
          <w:szCs w:val="18"/>
        </w:rPr>
      </w:pPr>
      <w:bookmarkStart w:id="6" w:name="_Hlk126843059"/>
      <w:r w:rsidRPr="006014A2">
        <w:rPr>
          <w:rFonts w:ascii="Titillium" w:hAnsi="Titillium" w:cs="Arial"/>
          <w:sz w:val="18"/>
          <w:szCs w:val="18"/>
        </w:rPr>
        <w:t>Spett.le REGIONE BASILICATA</w:t>
      </w:r>
    </w:p>
    <w:p w14:paraId="3B44F0CD" w14:textId="77777777" w:rsidR="00904936" w:rsidRPr="006014A2" w:rsidRDefault="00904936" w:rsidP="00904936">
      <w:pPr>
        <w:autoSpaceDE w:val="0"/>
        <w:autoSpaceDN w:val="0"/>
        <w:adjustRightInd w:val="0"/>
        <w:ind w:left="4678"/>
        <w:rPr>
          <w:rFonts w:ascii="Titillium" w:hAnsi="Titillium" w:cs="Arial"/>
          <w:sz w:val="18"/>
          <w:szCs w:val="18"/>
        </w:rPr>
      </w:pPr>
      <w:r w:rsidRPr="006014A2">
        <w:rPr>
          <w:rFonts w:ascii="Titillium" w:hAnsi="Titillium" w:cs="Arial"/>
          <w:sz w:val="18"/>
          <w:szCs w:val="18"/>
        </w:rPr>
        <w:t>Di</w:t>
      </w:r>
      <w:r>
        <w:rPr>
          <w:rFonts w:ascii="Titillium" w:hAnsi="Titillium" w:cs="Arial"/>
          <w:sz w:val="18"/>
          <w:szCs w:val="18"/>
        </w:rPr>
        <w:t>rezione Generale</w:t>
      </w:r>
      <w:r w:rsidRPr="006014A2">
        <w:rPr>
          <w:rFonts w:ascii="Titillium" w:hAnsi="Titillium" w:cs="Arial"/>
          <w:sz w:val="18"/>
          <w:szCs w:val="18"/>
        </w:rPr>
        <w:t xml:space="preserve"> Stazione Unica Appaltante</w:t>
      </w:r>
    </w:p>
    <w:p w14:paraId="5ED6C515" w14:textId="77777777" w:rsidR="00904936" w:rsidRPr="006014A2" w:rsidRDefault="00904936" w:rsidP="00904936">
      <w:pPr>
        <w:autoSpaceDE w:val="0"/>
        <w:autoSpaceDN w:val="0"/>
        <w:adjustRightInd w:val="0"/>
        <w:ind w:left="4678"/>
        <w:rPr>
          <w:rFonts w:ascii="Titillium" w:hAnsi="Titillium" w:cs="Arial"/>
          <w:sz w:val="18"/>
          <w:szCs w:val="18"/>
        </w:rPr>
      </w:pPr>
      <w:r w:rsidRPr="006014A2">
        <w:rPr>
          <w:rFonts w:ascii="Titillium" w:hAnsi="Titillium" w:cs="Arial"/>
          <w:sz w:val="18"/>
          <w:szCs w:val="18"/>
        </w:rPr>
        <w:t>Ufficio Centrale di Committenza e Soggetto Aggregatore</w:t>
      </w:r>
    </w:p>
    <w:p w14:paraId="7053A3F2" w14:textId="77777777" w:rsidR="00904936" w:rsidRPr="006014A2" w:rsidRDefault="00904936" w:rsidP="00904936">
      <w:pPr>
        <w:autoSpaceDE w:val="0"/>
        <w:autoSpaceDN w:val="0"/>
        <w:adjustRightInd w:val="0"/>
        <w:ind w:left="4678"/>
        <w:rPr>
          <w:rFonts w:ascii="Titillium" w:hAnsi="Titillium" w:cs="Arial"/>
          <w:sz w:val="18"/>
          <w:szCs w:val="18"/>
        </w:rPr>
      </w:pPr>
      <w:r w:rsidRPr="006014A2">
        <w:rPr>
          <w:rFonts w:ascii="Titillium" w:hAnsi="Titillium" w:cs="Arial"/>
          <w:sz w:val="18"/>
          <w:szCs w:val="18"/>
        </w:rPr>
        <w:t xml:space="preserve">Via Vincenzo </w:t>
      </w:r>
      <w:proofErr w:type="spellStart"/>
      <w:r w:rsidRPr="006014A2">
        <w:rPr>
          <w:rFonts w:ascii="Titillium" w:hAnsi="Titillium" w:cs="Arial"/>
          <w:sz w:val="18"/>
          <w:szCs w:val="18"/>
        </w:rPr>
        <w:t>Verrastro</w:t>
      </w:r>
      <w:proofErr w:type="spellEnd"/>
      <w:r w:rsidRPr="006014A2">
        <w:rPr>
          <w:rFonts w:ascii="Titillium" w:hAnsi="Titillium" w:cs="Arial"/>
          <w:sz w:val="18"/>
          <w:szCs w:val="18"/>
        </w:rPr>
        <w:t>, 4</w:t>
      </w:r>
    </w:p>
    <w:p w14:paraId="53C57BA4" w14:textId="77777777" w:rsidR="00904936" w:rsidRPr="006014A2" w:rsidRDefault="00904936" w:rsidP="00904936">
      <w:pPr>
        <w:autoSpaceDE w:val="0"/>
        <w:autoSpaceDN w:val="0"/>
        <w:adjustRightInd w:val="0"/>
        <w:ind w:left="6521" w:hanging="1558"/>
        <w:rPr>
          <w:rFonts w:ascii="Titillium" w:hAnsi="Titillium" w:cs="Arial"/>
          <w:sz w:val="18"/>
          <w:szCs w:val="18"/>
          <w:u w:val="single"/>
        </w:rPr>
      </w:pPr>
      <w:r w:rsidRPr="006014A2">
        <w:rPr>
          <w:rFonts w:ascii="Titillium" w:hAnsi="Titillium" w:cs="Arial"/>
          <w:sz w:val="18"/>
          <w:szCs w:val="18"/>
          <w:u w:val="single"/>
        </w:rPr>
        <w:t>85100 – POTENZA</w:t>
      </w:r>
    </w:p>
    <w:bookmarkEnd w:id="6"/>
    <w:p w14:paraId="5A251ED0" w14:textId="77777777" w:rsidR="00904936" w:rsidRPr="000D71AD" w:rsidRDefault="00904936" w:rsidP="00904936">
      <w:pPr>
        <w:autoSpaceDE w:val="0"/>
        <w:autoSpaceDN w:val="0"/>
        <w:adjustRightInd w:val="0"/>
        <w:rPr>
          <w:rFonts w:ascii="Garamond" w:hAnsi="Garamond" w:cs="Arial"/>
          <w:sz w:val="24"/>
          <w:szCs w:val="24"/>
        </w:rPr>
      </w:pPr>
    </w:p>
    <w:p w14:paraId="5D1C0267" w14:textId="77777777" w:rsidR="00904936" w:rsidRPr="000D71AD" w:rsidRDefault="00904936" w:rsidP="00904936">
      <w:pPr>
        <w:autoSpaceDE w:val="0"/>
        <w:autoSpaceDN w:val="0"/>
        <w:adjustRightInd w:val="0"/>
        <w:rPr>
          <w:rFonts w:ascii="Garamond" w:hAnsi="Garamond" w:cs="Arial"/>
          <w:sz w:val="24"/>
          <w:szCs w:val="24"/>
        </w:rPr>
      </w:pPr>
    </w:p>
    <w:p w14:paraId="16951864" w14:textId="77777777" w:rsidR="00904936" w:rsidRPr="000D71AD" w:rsidRDefault="00904936" w:rsidP="00904936">
      <w:pPr>
        <w:pStyle w:val="Style12"/>
        <w:spacing w:line="240" w:lineRule="auto"/>
        <w:jc w:val="center"/>
        <w:rPr>
          <w:rStyle w:val="FontStyle19"/>
          <w:rFonts w:ascii="Garamond" w:hAnsi="Garamond" w:cs="Times New Roman"/>
        </w:rPr>
      </w:pPr>
      <w:r w:rsidRPr="000D71AD">
        <w:rPr>
          <w:rStyle w:val="FontStyle19"/>
          <w:rFonts w:ascii="Garamond" w:hAnsi="Garamond" w:cs="Times New Roman"/>
        </w:rPr>
        <w:t>DICHIARAZIONE DELL’IMPRESA AUSILIARIA</w:t>
      </w:r>
    </w:p>
    <w:p w14:paraId="70D5682D" w14:textId="77777777" w:rsidR="00904936" w:rsidRPr="000D71AD" w:rsidRDefault="00904936" w:rsidP="00904936">
      <w:pPr>
        <w:pStyle w:val="Style12"/>
        <w:spacing w:line="240" w:lineRule="auto"/>
        <w:jc w:val="center"/>
        <w:rPr>
          <w:rStyle w:val="FontStyle19"/>
          <w:rFonts w:ascii="Garamond" w:hAnsi="Garamond" w:cs="Times New Roman"/>
          <w:b w:val="0"/>
          <w:i/>
        </w:rPr>
      </w:pPr>
      <w:r w:rsidRPr="000D71AD">
        <w:rPr>
          <w:rStyle w:val="FontStyle19"/>
          <w:rFonts w:ascii="Garamond" w:hAnsi="Garamond" w:cs="Times New Roman"/>
          <w:i/>
        </w:rPr>
        <w:t>(Art. 89 del Codice)</w:t>
      </w:r>
    </w:p>
    <w:p w14:paraId="460A7ADC" w14:textId="77777777" w:rsidR="00904936" w:rsidRPr="00B36AFD" w:rsidRDefault="00904936" w:rsidP="00904936">
      <w:pPr>
        <w:pStyle w:val="Style12"/>
        <w:spacing w:before="100" w:beforeAutospacing="1" w:line="240" w:lineRule="auto"/>
        <w:ind w:left="851" w:right="849"/>
        <w:rPr>
          <w:rFonts w:ascii="Titillium" w:hAnsi="Titillium" w:cs="Times New Roman"/>
          <w:b/>
          <w:bCs/>
          <w:iCs/>
          <w:sz w:val="22"/>
          <w:szCs w:val="22"/>
        </w:rPr>
      </w:pPr>
      <w:r w:rsidRPr="00B36AFD">
        <w:rPr>
          <w:rFonts w:ascii="Titillium" w:hAnsi="Titillium" w:cs="Times New Roman"/>
          <w:b/>
          <w:bCs/>
          <w:iCs/>
          <w:sz w:val="22"/>
          <w:szCs w:val="22"/>
        </w:rPr>
        <w:t>Procedura aperta telematica aperta per l’affidamento quinquennale della fornitura di sistemi di infusione occorrenti all’AOR “San Carlo” di Potenza e all’ASM.</w:t>
      </w:r>
    </w:p>
    <w:p w14:paraId="1B183526" w14:textId="77777777" w:rsidR="00904936" w:rsidRPr="00FB2505" w:rsidRDefault="00904936" w:rsidP="00904936">
      <w:pPr>
        <w:pStyle w:val="Style12"/>
        <w:widowControl/>
        <w:spacing w:before="240" w:line="240" w:lineRule="auto"/>
        <w:ind w:left="1134" w:right="1132"/>
        <w:rPr>
          <w:rFonts w:ascii="Titillium" w:hAnsi="Titillium"/>
          <w:b/>
          <w:i/>
          <w:snapToGrid w:val="0"/>
          <w:sz w:val="22"/>
          <w:szCs w:val="22"/>
        </w:rPr>
      </w:pPr>
      <w:bookmarkStart w:id="7" w:name="_Hlk126843166"/>
      <w:r w:rsidRPr="00FB2505">
        <w:rPr>
          <w:rFonts w:ascii="Titillium" w:hAnsi="Titillium"/>
          <w:b/>
          <w:i/>
          <w:sz w:val="22"/>
          <w:szCs w:val="22"/>
        </w:rPr>
        <w:t xml:space="preserve">SIMOG n. </w:t>
      </w:r>
      <w:r w:rsidRPr="009F5DE5">
        <w:rPr>
          <w:rFonts w:ascii="Titillium" w:hAnsi="Titillium"/>
          <w:b/>
          <w:i/>
          <w:sz w:val="22"/>
          <w:szCs w:val="22"/>
        </w:rPr>
        <w:t>8960693</w:t>
      </w:r>
    </w:p>
    <w:bookmarkEnd w:id="7"/>
    <w:p w14:paraId="0ABBA383" w14:textId="77777777" w:rsidR="00904936" w:rsidRPr="000D71AD" w:rsidRDefault="00904936" w:rsidP="00904936">
      <w:pPr>
        <w:widowControl w:val="0"/>
        <w:spacing w:line="360" w:lineRule="auto"/>
        <w:rPr>
          <w:rFonts w:ascii="Garamond" w:hAnsi="Garamond" w:cs="Arial"/>
          <w:sz w:val="24"/>
          <w:szCs w:val="24"/>
        </w:rPr>
      </w:pPr>
    </w:p>
    <w:p w14:paraId="5B7C8E9D" w14:textId="77777777" w:rsidR="00904936" w:rsidRPr="000D71AD" w:rsidRDefault="00904936" w:rsidP="00904936">
      <w:pPr>
        <w:widowControl w:val="0"/>
        <w:spacing w:line="360" w:lineRule="auto"/>
        <w:rPr>
          <w:rFonts w:ascii="Garamond" w:hAnsi="Garamond" w:cs="Arial"/>
          <w:sz w:val="24"/>
          <w:szCs w:val="24"/>
        </w:rPr>
      </w:pPr>
    </w:p>
    <w:p w14:paraId="5477F573" w14:textId="77777777" w:rsidR="00904936" w:rsidRPr="00B36AFD" w:rsidRDefault="00904936" w:rsidP="00904936">
      <w:pPr>
        <w:widowControl w:val="0"/>
        <w:autoSpaceDE w:val="0"/>
        <w:autoSpaceDN w:val="0"/>
        <w:rPr>
          <w:rFonts w:ascii="Titillium" w:hAnsi="Titillium" w:cs="Arial"/>
        </w:rPr>
      </w:pPr>
      <w:r w:rsidRPr="00B36AFD">
        <w:rPr>
          <w:rFonts w:ascii="Titillium" w:hAnsi="Titillium" w:cs="Arial"/>
        </w:rPr>
        <w:t>Il sottoscritto___________, nato a _________________ il_______________, codice fiscale_______________, domiciliato per la carica presso la sede societaria ove appresso, nella sua qualità di _______________ e legale rappresentante avente i poteri necessari per impegnare la ______________ (codice fiscale_____________, P.IVA_______________) nella presente procedura, con sede in_______________, Via____________, telefono_______________, fax_______________, e-mail __________@__________, PEC ____________@_____________,</w:t>
      </w:r>
    </w:p>
    <w:p w14:paraId="19102382" w14:textId="77777777" w:rsidR="00904936" w:rsidRPr="00B36AFD" w:rsidRDefault="00904936" w:rsidP="00904936">
      <w:pPr>
        <w:autoSpaceDE w:val="0"/>
        <w:autoSpaceDN w:val="0"/>
        <w:adjustRightInd w:val="0"/>
        <w:rPr>
          <w:rFonts w:ascii="Titillium" w:hAnsi="Titillium" w:cs="Arial"/>
          <w:color w:val="000000"/>
        </w:rPr>
      </w:pPr>
      <w:r w:rsidRPr="00B36AFD">
        <w:rPr>
          <w:rFonts w:ascii="Titillium" w:hAnsi="Titillium" w:cs="Arial"/>
          <w:color w:val="000000"/>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B2EE6D4" w14:textId="77777777" w:rsidR="00904936" w:rsidRPr="000D71AD" w:rsidRDefault="00904936" w:rsidP="00904936">
      <w:pPr>
        <w:autoSpaceDE w:val="0"/>
        <w:autoSpaceDN w:val="0"/>
        <w:adjustRightInd w:val="0"/>
        <w:jc w:val="center"/>
        <w:rPr>
          <w:rFonts w:ascii="Garamond" w:hAnsi="Garamond" w:cs="Arial"/>
          <w:b/>
          <w:color w:val="000000"/>
          <w:sz w:val="24"/>
          <w:szCs w:val="24"/>
        </w:rPr>
      </w:pPr>
    </w:p>
    <w:p w14:paraId="715A1A1F" w14:textId="77777777" w:rsidR="00904936" w:rsidRPr="00B36AFD" w:rsidRDefault="00904936" w:rsidP="00904936">
      <w:pPr>
        <w:autoSpaceDE w:val="0"/>
        <w:autoSpaceDN w:val="0"/>
        <w:adjustRightInd w:val="0"/>
        <w:jc w:val="center"/>
        <w:rPr>
          <w:rFonts w:ascii="Titillium" w:hAnsi="Titillium" w:cs="Arial"/>
          <w:b/>
          <w:color w:val="000000"/>
          <w:sz w:val="24"/>
          <w:szCs w:val="24"/>
        </w:rPr>
      </w:pPr>
      <w:r w:rsidRPr="00B36AFD">
        <w:rPr>
          <w:rFonts w:ascii="Titillium" w:hAnsi="Titillium" w:cs="Arial"/>
          <w:b/>
          <w:color w:val="000000"/>
          <w:sz w:val="24"/>
          <w:szCs w:val="24"/>
        </w:rPr>
        <w:t>DICHIARA SOTTO LA PROPRIA RESPONSABILITÀ</w:t>
      </w:r>
    </w:p>
    <w:p w14:paraId="28A8FF90" w14:textId="77777777" w:rsidR="00904936" w:rsidRPr="000D71AD" w:rsidRDefault="00904936" w:rsidP="00904936">
      <w:pPr>
        <w:autoSpaceDE w:val="0"/>
        <w:autoSpaceDN w:val="0"/>
        <w:adjustRightInd w:val="0"/>
        <w:rPr>
          <w:rFonts w:ascii="Garamond" w:hAnsi="Garamond" w:cs="Arial"/>
          <w:sz w:val="24"/>
          <w:szCs w:val="24"/>
        </w:rPr>
      </w:pPr>
    </w:p>
    <w:p w14:paraId="76610B27" w14:textId="77777777" w:rsidR="00904936" w:rsidRPr="00B36AFD" w:rsidRDefault="00904936" w:rsidP="00904936">
      <w:pPr>
        <w:numPr>
          <w:ilvl w:val="0"/>
          <w:numId w:val="1"/>
        </w:numPr>
        <w:autoSpaceDE w:val="0"/>
        <w:autoSpaceDN w:val="0"/>
        <w:adjustRightInd w:val="0"/>
        <w:spacing w:before="0" w:after="80"/>
        <w:contextualSpacing/>
        <w:rPr>
          <w:rFonts w:ascii="Titillium" w:hAnsi="Titillium" w:cs="Arial"/>
        </w:rPr>
      </w:pPr>
      <w:r w:rsidRPr="00B36AFD">
        <w:rPr>
          <w:rFonts w:ascii="Titillium" w:hAnsi="Titillium" w:cs="Arial"/>
        </w:rPr>
        <w:t>che l’Impresa è iscritta nel Registro della Camera di Commercio di _____________ ed attesta i seguenti dati:</w:t>
      </w:r>
    </w:p>
    <w:p w14:paraId="03F5E131" w14:textId="77777777" w:rsidR="00904936" w:rsidRPr="00B36AFD" w:rsidRDefault="00904936" w:rsidP="00904936">
      <w:pPr>
        <w:numPr>
          <w:ilvl w:val="1"/>
          <w:numId w:val="1"/>
        </w:numPr>
        <w:autoSpaceDE w:val="0"/>
        <w:autoSpaceDN w:val="0"/>
        <w:adjustRightInd w:val="0"/>
        <w:spacing w:before="0" w:after="80"/>
        <w:contextualSpacing/>
        <w:rPr>
          <w:rFonts w:ascii="Titillium" w:hAnsi="Titillium" w:cs="Arial"/>
        </w:rPr>
      </w:pPr>
      <w:r w:rsidRPr="00B36AFD">
        <w:rPr>
          <w:rFonts w:ascii="Titillium" w:hAnsi="Titillium" w:cs="Arial"/>
        </w:rPr>
        <w:t>numero di iscrizione____________, data di iscrizione _______________</w:t>
      </w:r>
    </w:p>
    <w:p w14:paraId="0ACCB865" w14:textId="77777777" w:rsidR="00904936" w:rsidRPr="00B36AFD" w:rsidRDefault="00904936" w:rsidP="00904936">
      <w:pPr>
        <w:numPr>
          <w:ilvl w:val="1"/>
          <w:numId w:val="1"/>
        </w:numPr>
        <w:autoSpaceDE w:val="0"/>
        <w:autoSpaceDN w:val="0"/>
        <w:adjustRightInd w:val="0"/>
        <w:spacing w:before="0" w:after="80"/>
        <w:contextualSpacing/>
        <w:rPr>
          <w:rFonts w:ascii="Titillium" w:hAnsi="Titillium" w:cs="Arial"/>
        </w:rPr>
      </w:pPr>
      <w:r w:rsidRPr="00B36AFD">
        <w:rPr>
          <w:rFonts w:ascii="Titillium" w:hAnsi="Titillium" w:cs="Arial"/>
        </w:rPr>
        <w:t>forma giuridica ________________</w:t>
      </w:r>
    </w:p>
    <w:p w14:paraId="6ACAB8E1" w14:textId="77777777" w:rsidR="00904936" w:rsidRPr="00B36AFD" w:rsidRDefault="00904936" w:rsidP="00904936">
      <w:pPr>
        <w:numPr>
          <w:ilvl w:val="1"/>
          <w:numId w:val="1"/>
        </w:numPr>
        <w:autoSpaceDE w:val="0"/>
        <w:autoSpaceDN w:val="0"/>
        <w:adjustRightInd w:val="0"/>
        <w:spacing w:before="0" w:after="80"/>
        <w:contextualSpacing/>
        <w:rPr>
          <w:rFonts w:ascii="Titillium" w:hAnsi="Titillium" w:cs="Arial"/>
        </w:rPr>
      </w:pPr>
      <w:r w:rsidRPr="00B36AFD">
        <w:rPr>
          <w:rFonts w:ascii="Titillium" w:hAnsi="Titillium" w:cs="Arial"/>
        </w:rPr>
        <w:t>attività per la quale è iscritta _____________</w:t>
      </w:r>
    </w:p>
    <w:p w14:paraId="7E2386CC" w14:textId="77777777" w:rsidR="00904936" w:rsidRPr="00B36AFD" w:rsidRDefault="00904936" w:rsidP="00904936">
      <w:pPr>
        <w:numPr>
          <w:ilvl w:val="1"/>
          <w:numId w:val="1"/>
        </w:numPr>
        <w:autoSpaceDE w:val="0"/>
        <w:autoSpaceDN w:val="0"/>
        <w:adjustRightInd w:val="0"/>
        <w:spacing w:before="0" w:after="80"/>
        <w:contextualSpacing/>
        <w:rPr>
          <w:rFonts w:ascii="Titillium" w:hAnsi="Titillium" w:cs="Arial"/>
        </w:rPr>
      </w:pPr>
      <w:r w:rsidRPr="00B36AFD">
        <w:rPr>
          <w:rFonts w:ascii="Titillium" w:hAnsi="Titillium" w:cs="Arial"/>
        </w:rPr>
        <w:t>o ad apposito Albo/Registro (</w:t>
      </w:r>
      <w:r w:rsidRPr="00B36AFD">
        <w:rPr>
          <w:rFonts w:ascii="Titillium" w:hAnsi="Titillium" w:cs="Arial"/>
          <w:i/>
        </w:rPr>
        <w:t>indicare</w:t>
      </w:r>
      <w:r w:rsidRPr="00B36AFD">
        <w:rPr>
          <w:rFonts w:ascii="Titillium" w:hAnsi="Titillium" w:cs="Arial"/>
        </w:rPr>
        <w:t>) _______________</w:t>
      </w:r>
    </w:p>
    <w:p w14:paraId="33F73214" w14:textId="77777777" w:rsidR="00904936" w:rsidRPr="00B36AFD" w:rsidRDefault="00904936" w:rsidP="00904936">
      <w:pPr>
        <w:numPr>
          <w:ilvl w:val="0"/>
          <w:numId w:val="1"/>
        </w:numPr>
        <w:autoSpaceDE w:val="0"/>
        <w:autoSpaceDN w:val="0"/>
        <w:adjustRightInd w:val="0"/>
        <w:spacing w:before="0" w:after="80"/>
        <w:contextualSpacing/>
        <w:rPr>
          <w:rFonts w:ascii="Titillium" w:hAnsi="Titillium" w:cs="Arial"/>
        </w:rPr>
      </w:pPr>
      <w:r w:rsidRPr="00B36AFD">
        <w:rPr>
          <w:rFonts w:ascii="Titillium" w:hAnsi="Titillium" w:cs="Arial"/>
        </w:rPr>
        <w:t>di possedere i requisiti oggetto di avvalimento (</w:t>
      </w:r>
      <w:r w:rsidRPr="00B36AFD">
        <w:rPr>
          <w:rFonts w:ascii="Titillium" w:hAnsi="Titillium" w:cs="Arial"/>
          <w:i/>
        </w:rPr>
        <w:t>specificare quali</w:t>
      </w:r>
      <w:r w:rsidRPr="00B36AFD">
        <w:rPr>
          <w:rFonts w:ascii="Titillium" w:hAnsi="Titillium" w:cs="Arial"/>
        </w:rPr>
        <w:t xml:space="preserve">) </w:t>
      </w:r>
    </w:p>
    <w:p w14:paraId="2D48E762" w14:textId="77777777" w:rsidR="00904936" w:rsidRPr="00B36AFD" w:rsidRDefault="00904936" w:rsidP="00904936">
      <w:pPr>
        <w:numPr>
          <w:ilvl w:val="1"/>
          <w:numId w:val="1"/>
        </w:numPr>
        <w:autoSpaceDE w:val="0"/>
        <w:autoSpaceDN w:val="0"/>
        <w:adjustRightInd w:val="0"/>
        <w:spacing w:before="0" w:after="80"/>
        <w:contextualSpacing/>
        <w:rPr>
          <w:rFonts w:ascii="Titillium" w:hAnsi="Titillium" w:cs="Arial"/>
        </w:rPr>
      </w:pPr>
      <w:r w:rsidRPr="00B36AFD">
        <w:rPr>
          <w:rFonts w:ascii="Titillium" w:hAnsi="Titillium" w:cs="Arial"/>
        </w:rPr>
        <w:t>___________________</w:t>
      </w:r>
    </w:p>
    <w:p w14:paraId="60E16454" w14:textId="77777777" w:rsidR="00904936" w:rsidRPr="00B36AFD" w:rsidRDefault="00904936" w:rsidP="00904936">
      <w:pPr>
        <w:numPr>
          <w:ilvl w:val="1"/>
          <w:numId w:val="1"/>
        </w:numPr>
        <w:autoSpaceDE w:val="0"/>
        <w:autoSpaceDN w:val="0"/>
        <w:adjustRightInd w:val="0"/>
        <w:spacing w:before="0" w:after="80"/>
        <w:contextualSpacing/>
        <w:rPr>
          <w:rFonts w:ascii="Titillium" w:hAnsi="Titillium" w:cs="Arial"/>
        </w:rPr>
      </w:pPr>
      <w:r w:rsidRPr="00B36AFD">
        <w:rPr>
          <w:rFonts w:ascii="Titillium" w:hAnsi="Titillium" w:cs="Arial"/>
        </w:rPr>
        <w:t>___________________</w:t>
      </w:r>
    </w:p>
    <w:p w14:paraId="41D2E087" w14:textId="77777777" w:rsidR="00904936" w:rsidRPr="00B36AFD" w:rsidRDefault="00904936" w:rsidP="00904936">
      <w:pPr>
        <w:numPr>
          <w:ilvl w:val="1"/>
          <w:numId w:val="1"/>
        </w:numPr>
        <w:autoSpaceDE w:val="0"/>
        <w:autoSpaceDN w:val="0"/>
        <w:adjustRightInd w:val="0"/>
        <w:spacing w:before="0" w:after="80"/>
        <w:contextualSpacing/>
        <w:rPr>
          <w:rFonts w:ascii="Titillium" w:hAnsi="Titillium" w:cs="Arial"/>
        </w:rPr>
      </w:pPr>
      <w:r w:rsidRPr="00B36AFD">
        <w:rPr>
          <w:rFonts w:ascii="Titillium" w:hAnsi="Titillium" w:cs="Arial"/>
        </w:rPr>
        <w:t>___________________</w:t>
      </w:r>
    </w:p>
    <w:p w14:paraId="51FC781A" w14:textId="77777777" w:rsidR="00904936" w:rsidRPr="00B36AFD" w:rsidRDefault="00904936" w:rsidP="00904936">
      <w:pPr>
        <w:numPr>
          <w:ilvl w:val="1"/>
          <w:numId w:val="1"/>
        </w:numPr>
        <w:autoSpaceDE w:val="0"/>
        <w:autoSpaceDN w:val="0"/>
        <w:adjustRightInd w:val="0"/>
        <w:spacing w:before="0" w:after="80"/>
        <w:contextualSpacing/>
        <w:rPr>
          <w:rFonts w:ascii="Titillium" w:hAnsi="Titillium" w:cs="Arial"/>
        </w:rPr>
      </w:pPr>
      <w:r w:rsidRPr="00B36AFD">
        <w:rPr>
          <w:rFonts w:ascii="Titillium" w:hAnsi="Titillium" w:cs="Arial"/>
        </w:rPr>
        <w:lastRenderedPageBreak/>
        <w:t>__________________</w:t>
      </w:r>
    </w:p>
    <w:p w14:paraId="5D986E36" w14:textId="77777777" w:rsidR="00904936" w:rsidRPr="00B36AFD" w:rsidRDefault="00904936" w:rsidP="00904936">
      <w:pPr>
        <w:numPr>
          <w:ilvl w:val="1"/>
          <w:numId w:val="1"/>
        </w:numPr>
        <w:autoSpaceDE w:val="0"/>
        <w:autoSpaceDN w:val="0"/>
        <w:adjustRightInd w:val="0"/>
        <w:spacing w:before="0" w:after="80"/>
        <w:contextualSpacing/>
        <w:rPr>
          <w:rFonts w:ascii="Titillium" w:hAnsi="Titillium" w:cs="Arial"/>
        </w:rPr>
      </w:pPr>
      <w:r w:rsidRPr="00B36AFD">
        <w:rPr>
          <w:rFonts w:ascii="Titillium" w:hAnsi="Titillium" w:cs="Arial"/>
        </w:rPr>
        <w:t>__________________</w:t>
      </w:r>
    </w:p>
    <w:p w14:paraId="3BC8F59E" w14:textId="77777777" w:rsidR="00904936" w:rsidRPr="00B36AFD" w:rsidRDefault="00904936" w:rsidP="00904936">
      <w:pPr>
        <w:numPr>
          <w:ilvl w:val="1"/>
          <w:numId w:val="1"/>
        </w:numPr>
        <w:autoSpaceDE w:val="0"/>
        <w:autoSpaceDN w:val="0"/>
        <w:adjustRightInd w:val="0"/>
        <w:spacing w:before="0" w:after="80"/>
        <w:contextualSpacing/>
        <w:rPr>
          <w:rFonts w:ascii="Titillium" w:hAnsi="Titillium" w:cs="Arial"/>
        </w:rPr>
      </w:pPr>
      <w:r w:rsidRPr="00B36AFD">
        <w:rPr>
          <w:rFonts w:ascii="Titillium" w:hAnsi="Titillium" w:cs="Arial"/>
        </w:rPr>
        <w:t>__________________</w:t>
      </w:r>
    </w:p>
    <w:p w14:paraId="27838CBC" w14:textId="77777777" w:rsidR="00904936" w:rsidRPr="00B36AFD" w:rsidRDefault="00904936" w:rsidP="00904936">
      <w:pPr>
        <w:numPr>
          <w:ilvl w:val="0"/>
          <w:numId w:val="1"/>
        </w:numPr>
        <w:autoSpaceDE w:val="0"/>
        <w:autoSpaceDN w:val="0"/>
        <w:adjustRightInd w:val="0"/>
        <w:spacing w:before="0" w:after="80"/>
        <w:contextualSpacing/>
        <w:rPr>
          <w:rFonts w:ascii="Titillium" w:hAnsi="Titillium" w:cs="Arial"/>
        </w:rPr>
      </w:pPr>
      <w:r w:rsidRPr="00B36AFD">
        <w:rPr>
          <w:rFonts w:ascii="Titillium" w:hAnsi="Titillium" w:cs="Arial"/>
        </w:rPr>
        <w:t>di obbligarsi nei confronti del concorrente ____________ (codice fiscale ____________, P.IVA ______________), con sede legale in _______________, Via _______________, numero di iscrizione nel Registro delle imprese di ______________, legalmente rappresentata da _________________ e nei confronti della Stazione appaltante a mettere a disposizione per tutta la durata dell’appalto, le risorse necessarie di cui è carente il concorrente, in ordine al possesso del/dei requisito/i richiesto/i per la partecipazione alla gara sopra indicato/i;</w:t>
      </w:r>
    </w:p>
    <w:p w14:paraId="7CBAD612" w14:textId="77777777" w:rsidR="00904936" w:rsidRPr="00B36AFD" w:rsidRDefault="00904936" w:rsidP="00904936">
      <w:pPr>
        <w:numPr>
          <w:ilvl w:val="0"/>
          <w:numId w:val="1"/>
        </w:numPr>
        <w:autoSpaceDE w:val="0"/>
        <w:autoSpaceDN w:val="0"/>
        <w:adjustRightInd w:val="0"/>
        <w:spacing w:before="0" w:after="80"/>
        <w:contextualSpacing/>
        <w:rPr>
          <w:rFonts w:ascii="Titillium" w:hAnsi="Titillium" w:cs="Arial"/>
        </w:rPr>
      </w:pPr>
      <w:r w:rsidRPr="00B36AFD">
        <w:rPr>
          <w:rFonts w:ascii="Titillium" w:hAnsi="Titillium" w:cs="Arial"/>
        </w:rPr>
        <w:t xml:space="preserve">di non trovarsi in uno dei motivi di esclusione di cui all’art. 80 del </w:t>
      </w:r>
      <w:proofErr w:type="spellStart"/>
      <w:r w:rsidRPr="00B36AFD">
        <w:rPr>
          <w:rFonts w:ascii="Titillium" w:hAnsi="Titillium" w:cs="Arial"/>
        </w:rPr>
        <w:t>D.Lgs.</w:t>
      </w:r>
      <w:proofErr w:type="spellEnd"/>
      <w:r w:rsidRPr="00B36AFD">
        <w:rPr>
          <w:rFonts w:ascii="Titillium" w:hAnsi="Titillium" w:cs="Arial"/>
        </w:rPr>
        <w:t xml:space="preserve"> 50/2016 e </w:t>
      </w:r>
      <w:proofErr w:type="spellStart"/>
      <w:r w:rsidRPr="00B36AFD">
        <w:rPr>
          <w:rFonts w:ascii="Titillium" w:hAnsi="Titillium" w:cs="Arial"/>
        </w:rPr>
        <w:t>s.m.i</w:t>
      </w:r>
      <w:proofErr w:type="spellEnd"/>
      <w:r w:rsidRPr="00B36AFD">
        <w:rPr>
          <w:rFonts w:ascii="Titillium" w:hAnsi="Titillium" w:cs="Arial"/>
        </w:rPr>
        <w:t>;</w:t>
      </w:r>
    </w:p>
    <w:p w14:paraId="26B35F36" w14:textId="77777777" w:rsidR="00904936" w:rsidRPr="00B36AFD" w:rsidRDefault="00904936" w:rsidP="00904936">
      <w:pPr>
        <w:numPr>
          <w:ilvl w:val="0"/>
          <w:numId w:val="1"/>
        </w:numPr>
        <w:autoSpaceDE w:val="0"/>
        <w:autoSpaceDN w:val="0"/>
        <w:adjustRightInd w:val="0"/>
        <w:spacing w:before="0" w:after="80"/>
        <w:contextualSpacing/>
        <w:rPr>
          <w:rFonts w:ascii="Titillium" w:hAnsi="Titillium" w:cs="Arial"/>
        </w:rPr>
      </w:pPr>
      <w:r w:rsidRPr="00B36AFD">
        <w:rPr>
          <w:rFonts w:ascii="Titillium" w:hAnsi="Titillium" w:cs="Arial"/>
        </w:rPr>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4A585908" w14:textId="77777777" w:rsidR="00904936" w:rsidRPr="00B36AFD" w:rsidRDefault="00904936" w:rsidP="00904936">
      <w:pPr>
        <w:numPr>
          <w:ilvl w:val="0"/>
          <w:numId w:val="1"/>
        </w:numPr>
        <w:autoSpaceDE w:val="0"/>
        <w:autoSpaceDN w:val="0"/>
        <w:adjustRightInd w:val="0"/>
        <w:spacing w:before="0" w:after="80"/>
        <w:contextualSpacing/>
        <w:rPr>
          <w:rFonts w:ascii="Titillium" w:hAnsi="Titillium" w:cs="Arial"/>
        </w:rPr>
      </w:pPr>
      <w:r w:rsidRPr="00B36AFD">
        <w:rPr>
          <w:rFonts w:ascii="Titillium" w:hAnsi="Titillium" w:cs="Arial"/>
        </w:rPr>
        <w:t>di osservare gli obblighi imposti dalla normativa antimafia;</w:t>
      </w:r>
    </w:p>
    <w:p w14:paraId="3A5C6D82" w14:textId="77777777" w:rsidR="00904936" w:rsidRPr="00B36AFD" w:rsidRDefault="00904936" w:rsidP="00904936">
      <w:pPr>
        <w:numPr>
          <w:ilvl w:val="0"/>
          <w:numId w:val="1"/>
        </w:numPr>
        <w:autoSpaceDE w:val="0"/>
        <w:autoSpaceDN w:val="0"/>
        <w:adjustRightInd w:val="0"/>
        <w:spacing w:before="0" w:after="80"/>
        <w:contextualSpacing/>
        <w:rPr>
          <w:rFonts w:ascii="Titillium" w:hAnsi="Titillium" w:cs="Arial"/>
        </w:rPr>
      </w:pPr>
      <w:r w:rsidRPr="00B36AFD">
        <w:rPr>
          <w:rFonts w:ascii="Titillium" w:hAnsi="Titillium" w:cs="Arial"/>
        </w:rPr>
        <w:t>di non partecipare ai singoli lotti in proprio o come associata o consorziata, salvo i casi di partecipazione alla gara nello stesso raggruppamento;</w:t>
      </w:r>
    </w:p>
    <w:p w14:paraId="06E1F9C2" w14:textId="77777777" w:rsidR="00904936" w:rsidRPr="00B36AFD" w:rsidRDefault="00904936" w:rsidP="00904936">
      <w:pPr>
        <w:numPr>
          <w:ilvl w:val="0"/>
          <w:numId w:val="1"/>
        </w:numPr>
        <w:autoSpaceDE w:val="0"/>
        <w:autoSpaceDN w:val="0"/>
        <w:adjustRightInd w:val="0"/>
        <w:spacing w:before="0" w:after="80"/>
        <w:contextualSpacing/>
        <w:rPr>
          <w:rFonts w:ascii="Titillium" w:hAnsi="Titillium" w:cs="Arial"/>
        </w:rPr>
      </w:pPr>
      <w:r w:rsidRPr="00B36AFD">
        <w:rPr>
          <w:rFonts w:ascii="Titillium" w:hAnsi="Titillium" w:cs="Arial"/>
        </w:rPr>
        <w:t xml:space="preserve">di essere consapevole che ai sensi dell’art. 89, comma 5 </w:t>
      </w:r>
      <w:proofErr w:type="spellStart"/>
      <w:r w:rsidRPr="00B36AFD">
        <w:rPr>
          <w:rFonts w:ascii="Titillium" w:hAnsi="Titillium" w:cs="Arial"/>
        </w:rPr>
        <w:t>D.Lgs.</w:t>
      </w:r>
      <w:proofErr w:type="spellEnd"/>
      <w:r w:rsidRPr="00B36AFD">
        <w:rPr>
          <w:rFonts w:ascii="Titillium" w:hAnsi="Titillium" w:cs="Arial"/>
        </w:rPr>
        <w:t xml:space="preserve"> 50/2016 e </w:t>
      </w:r>
      <w:proofErr w:type="spellStart"/>
      <w:r w:rsidRPr="00B36AFD">
        <w:rPr>
          <w:rFonts w:ascii="Titillium" w:hAnsi="Titillium" w:cs="Arial"/>
        </w:rPr>
        <w:t>s.m.i</w:t>
      </w:r>
      <w:proofErr w:type="spellEnd"/>
      <w:r w:rsidRPr="00B36AFD">
        <w:rPr>
          <w:rFonts w:ascii="Titillium" w:hAnsi="Titillium" w:cs="Arial"/>
        </w:rPr>
        <w:t>, il concorrente e l’impresa ausiliaria saranno responsabili in solido nei confronti della stazione appaltante in relazione alle prestazioni oggetto dell’appalto;</w:t>
      </w:r>
    </w:p>
    <w:p w14:paraId="26373FAD" w14:textId="77777777" w:rsidR="00904936" w:rsidRPr="00B36AFD" w:rsidRDefault="00904936" w:rsidP="00904936">
      <w:pPr>
        <w:numPr>
          <w:ilvl w:val="0"/>
          <w:numId w:val="1"/>
        </w:numPr>
        <w:autoSpaceDE w:val="0"/>
        <w:autoSpaceDN w:val="0"/>
        <w:adjustRightInd w:val="0"/>
        <w:spacing w:before="0" w:after="80"/>
        <w:contextualSpacing/>
        <w:rPr>
          <w:rFonts w:ascii="Titillium" w:hAnsi="Titillium" w:cs="Arial"/>
        </w:rPr>
      </w:pPr>
      <w:r w:rsidRPr="00B36AFD">
        <w:rPr>
          <w:rFonts w:ascii="Titillium" w:hAnsi="Titillium" w:cs="Arial"/>
        </w:rPr>
        <w:t>di accettare integralmente e senza riserva alcuna le condizioni e prescrizioni contenute nella documentazione di gara.</w:t>
      </w:r>
    </w:p>
    <w:p w14:paraId="30928C2B" w14:textId="77777777" w:rsidR="00904936" w:rsidRPr="00B36AFD" w:rsidRDefault="00904936" w:rsidP="00904936">
      <w:pPr>
        <w:autoSpaceDE w:val="0"/>
        <w:autoSpaceDN w:val="0"/>
        <w:adjustRightInd w:val="0"/>
        <w:rPr>
          <w:rFonts w:ascii="Titillium" w:hAnsi="Titillium" w:cs="Arial"/>
        </w:rPr>
      </w:pPr>
    </w:p>
    <w:p w14:paraId="01180991" w14:textId="77777777" w:rsidR="00904936" w:rsidRPr="00B36AFD" w:rsidRDefault="00904936" w:rsidP="00904936">
      <w:pPr>
        <w:autoSpaceDE w:val="0"/>
        <w:autoSpaceDN w:val="0"/>
        <w:adjustRightInd w:val="0"/>
        <w:rPr>
          <w:rFonts w:ascii="Titillium" w:hAnsi="Titillium" w:cs="Arial"/>
        </w:rPr>
      </w:pPr>
    </w:p>
    <w:tbl>
      <w:tblPr>
        <w:tblStyle w:val="Grigliatabella"/>
        <w:tblW w:w="301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090"/>
      </w:tblGrid>
      <w:tr w:rsidR="00904936" w:rsidRPr="00B36AFD" w14:paraId="23B68FFE" w14:textId="77777777" w:rsidTr="00A55601">
        <w:trPr>
          <w:cantSplit/>
          <w:jc w:val="right"/>
        </w:trPr>
        <w:tc>
          <w:tcPr>
            <w:tcW w:w="492" w:type="pct"/>
          </w:tcPr>
          <w:p w14:paraId="1233BF25" w14:textId="77777777" w:rsidR="00904936" w:rsidRPr="00B36AFD" w:rsidRDefault="00904936" w:rsidP="00A55601">
            <w:pPr>
              <w:autoSpaceDE w:val="0"/>
              <w:autoSpaceDN w:val="0"/>
              <w:adjustRightInd w:val="0"/>
              <w:spacing w:before="0"/>
              <w:contextualSpacing/>
              <w:jc w:val="center"/>
              <w:rPr>
                <w:rFonts w:ascii="Titillium" w:hAnsi="Titillium" w:cs="Arial"/>
              </w:rPr>
            </w:pPr>
          </w:p>
        </w:tc>
        <w:tc>
          <w:tcPr>
            <w:tcW w:w="4508" w:type="pct"/>
          </w:tcPr>
          <w:p w14:paraId="66389C26" w14:textId="77777777" w:rsidR="00904936" w:rsidRPr="00B36AFD" w:rsidRDefault="00904936" w:rsidP="00A55601">
            <w:pPr>
              <w:autoSpaceDE w:val="0"/>
              <w:autoSpaceDN w:val="0"/>
              <w:adjustRightInd w:val="0"/>
              <w:spacing w:before="0"/>
              <w:contextualSpacing/>
              <w:jc w:val="center"/>
              <w:rPr>
                <w:rFonts w:ascii="Titillium" w:hAnsi="Titillium" w:cs="Arial"/>
              </w:rPr>
            </w:pPr>
            <w:r w:rsidRPr="00B36AFD">
              <w:rPr>
                <w:rFonts w:ascii="Titillium" w:hAnsi="Titillium" w:cs="Arial"/>
              </w:rPr>
              <w:t>IL DICHIARANTE</w:t>
            </w:r>
          </w:p>
          <w:p w14:paraId="24CB3B81" w14:textId="77777777" w:rsidR="00904936" w:rsidRPr="00B36AFD" w:rsidRDefault="00904936" w:rsidP="00A55601">
            <w:pPr>
              <w:autoSpaceDE w:val="0"/>
              <w:autoSpaceDN w:val="0"/>
              <w:adjustRightInd w:val="0"/>
              <w:spacing w:before="0"/>
              <w:contextualSpacing/>
              <w:jc w:val="center"/>
              <w:rPr>
                <w:rFonts w:ascii="Titillium" w:hAnsi="Titillium" w:cs="Arial"/>
                <w:color w:val="000000" w:themeColor="text1"/>
              </w:rPr>
            </w:pPr>
            <w:r w:rsidRPr="00B36AFD">
              <w:rPr>
                <w:rFonts w:ascii="Titillium" w:hAnsi="Titillium" w:cs="Arial"/>
              </w:rPr>
              <w:t>(</w:t>
            </w:r>
            <w:r w:rsidRPr="00B36AFD">
              <w:rPr>
                <w:rFonts w:ascii="Titillium" w:hAnsi="Titillium" w:cs="Arial"/>
                <w:i/>
              </w:rPr>
              <w:t>Firmato digitalmente</w:t>
            </w:r>
            <w:r w:rsidRPr="00B36AFD">
              <w:rPr>
                <w:rFonts w:ascii="Titillium" w:hAnsi="Titillium" w:cs="Arial"/>
              </w:rPr>
              <w:t>)</w:t>
            </w:r>
          </w:p>
        </w:tc>
      </w:tr>
      <w:bookmarkEnd w:id="1"/>
      <w:bookmarkEnd w:id="2"/>
      <w:bookmarkEnd w:id="3"/>
    </w:tbl>
    <w:p w14:paraId="2DBECBBB" w14:textId="77777777" w:rsidR="00904936" w:rsidRPr="000D71AD" w:rsidRDefault="00904936" w:rsidP="00904936">
      <w:pPr>
        <w:autoSpaceDE w:val="0"/>
        <w:autoSpaceDN w:val="0"/>
        <w:adjustRightInd w:val="0"/>
        <w:rPr>
          <w:rFonts w:ascii="Garamond" w:hAnsi="Garamond" w:cs="Arial"/>
          <w:b/>
          <w:sz w:val="24"/>
          <w:szCs w:val="24"/>
        </w:rPr>
      </w:pPr>
    </w:p>
    <w:p w14:paraId="426879CC" w14:textId="77777777" w:rsidR="00AA7434" w:rsidRDefault="00AA7434"/>
    <w:sectPr w:rsidR="00AA7434" w:rsidSect="006D79A8">
      <w:headerReference w:type="even" r:id="rId5"/>
      <w:headerReference w:type="default" r:id="rId6"/>
      <w:footerReference w:type="even" r:id="rId7"/>
      <w:footerReference w:type="default" r:id="rId8"/>
      <w:headerReference w:type="first" r:id="rId9"/>
      <w:footerReference w:type="first" r:id="rId10"/>
      <w:pgSz w:w="11906" w:h="16838" w:code="9"/>
      <w:pgMar w:top="1701" w:right="1134" w:bottom="1701" w:left="1134" w:header="680" w:footer="680" w:gutter="284"/>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tillium">
    <w:altName w:val="Courier New"/>
    <w:panose1 w:val="00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1A84" w14:textId="77777777" w:rsidR="009B37C7"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BC9F" w14:textId="77777777" w:rsidR="007C370E" w:rsidRPr="007C370E" w:rsidRDefault="00000000" w:rsidP="007C370E">
    <w:pPr>
      <w:tabs>
        <w:tab w:val="center" w:pos="4819"/>
        <w:tab w:val="right" w:pos="9638"/>
      </w:tabs>
      <w:jc w:val="center"/>
      <w:rPr>
        <w:rFonts w:ascii="Garamond" w:hAnsi="Garamond"/>
        <w:b/>
        <w:smallCaps/>
        <w:sz w:val="18"/>
        <w:szCs w:val="18"/>
      </w:rPr>
    </w:pPr>
  </w:p>
  <w:p w14:paraId="045CDCD5" w14:textId="77777777" w:rsidR="009B37C7" w:rsidRDefault="00000000" w:rsidP="009B37C7">
    <w:pPr>
      <w:pStyle w:val="Pidipagina"/>
      <w:spacing w:before="0"/>
      <w:jc w:val="center"/>
      <w:rPr>
        <w:rFonts w:ascii="Titillium" w:hAnsi="Titillium"/>
        <w:sz w:val="16"/>
        <w:szCs w:val="16"/>
      </w:rPr>
    </w:pPr>
    <w:bookmarkStart w:id="13" w:name="_Hlk127865982"/>
    <w:r w:rsidRPr="00BF3A97">
      <w:rPr>
        <w:rFonts w:ascii="Titillium" w:hAnsi="Titillium"/>
        <w:sz w:val="16"/>
        <w:szCs w:val="16"/>
      </w:rPr>
      <w:t xml:space="preserve">Procedura telematica aperta per l’affidamento quinquennale della fornitura di sistemi di infusione occorrenti all’AOR </w:t>
    </w:r>
    <w:r>
      <w:rPr>
        <w:rFonts w:ascii="Titillium" w:hAnsi="Titillium"/>
        <w:sz w:val="16"/>
        <w:szCs w:val="16"/>
      </w:rPr>
      <w:t>“</w:t>
    </w:r>
    <w:r w:rsidRPr="00BF3A97">
      <w:rPr>
        <w:rFonts w:ascii="Titillium" w:hAnsi="Titillium"/>
        <w:sz w:val="16"/>
        <w:szCs w:val="16"/>
      </w:rPr>
      <w:t>San Carlo</w:t>
    </w:r>
    <w:r>
      <w:rPr>
        <w:rFonts w:ascii="Titillium" w:hAnsi="Titillium"/>
        <w:sz w:val="16"/>
        <w:szCs w:val="16"/>
      </w:rPr>
      <w:t>”</w:t>
    </w:r>
    <w:r w:rsidRPr="00BF3A97">
      <w:rPr>
        <w:rFonts w:ascii="Titillium" w:hAnsi="Titillium"/>
        <w:sz w:val="16"/>
        <w:szCs w:val="16"/>
      </w:rPr>
      <w:t xml:space="preserve"> di Potenza e all’ASM.</w:t>
    </w:r>
  </w:p>
  <w:p w14:paraId="79908C46" w14:textId="77777777" w:rsidR="00B36AFD" w:rsidRDefault="00000000" w:rsidP="009B37C7">
    <w:pPr>
      <w:jc w:val="center"/>
      <w:rPr>
        <w:rFonts w:ascii="Titillium" w:hAnsi="Titillium"/>
        <w:sz w:val="16"/>
        <w:szCs w:val="16"/>
      </w:rPr>
    </w:pPr>
    <w:r w:rsidRPr="00AF3B1D">
      <w:rPr>
        <w:rFonts w:ascii="Titillium" w:hAnsi="Titillium"/>
        <w:sz w:val="16"/>
        <w:szCs w:val="16"/>
      </w:rPr>
      <w:t>SIMOG N. 8960693</w:t>
    </w:r>
    <w:bookmarkEnd w:id="13"/>
  </w:p>
  <w:p w14:paraId="396262C6" w14:textId="77777777" w:rsidR="00B36AFD" w:rsidRDefault="00000000" w:rsidP="00B36AFD">
    <w:pPr>
      <w:pStyle w:val="Pidipagina"/>
      <w:spacing w:after="100"/>
      <w:jc w:val="right"/>
    </w:pPr>
    <w:r>
      <w:rPr>
        <w:rFonts w:ascii="Titillium" w:hAnsi="Titillium"/>
        <w:sz w:val="16"/>
        <w:szCs w:val="16"/>
      </w:rPr>
      <w:t xml:space="preserve">Pag. </w:t>
    </w:r>
    <w:r>
      <w:rPr>
        <w:rFonts w:ascii="Titillium" w:hAnsi="Titillium"/>
        <w:b/>
        <w:bCs/>
        <w:sz w:val="16"/>
        <w:szCs w:val="16"/>
      </w:rPr>
      <w:fldChar w:fldCharType="begin"/>
    </w:r>
    <w:r>
      <w:rPr>
        <w:rFonts w:ascii="Titillium" w:hAnsi="Titillium"/>
        <w:b/>
        <w:bCs/>
        <w:sz w:val="16"/>
        <w:szCs w:val="16"/>
      </w:rPr>
      <w:instrText>PAGE</w:instrText>
    </w:r>
    <w:r>
      <w:rPr>
        <w:rFonts w:ascii="Titillium" w:hAnsi="Titillium"/>
        <w:b/>
        <w:bCs/>
        <w:sz w:val="16"/>
        <w:szCs w:val="16"/>
      </w:rPr>
      <w:fldChar w:fldCharType="separate"/>
    </w:r>
    <w:r>
      <w:rPr>
        <w:rFonts w:ascii="Titillium" w:hAnsi="Titillium"/>
        <w:b/>
        <w:bCs/>
        <w:sz w:val="16"/>
        <w:szCs w:val="16"/>
      </w:rPr>
      <w:t>2</w:t>
    </w:r>
    <w:r>
      <w:rPr>
        <w:rFonts w:ascii="Titillium" w:hAnsi="Titillium"/>
        <w:b/>
        <w:bCs/>
        <w:sz w:val="16"/>
        <w:szCs w:val="16"/>
      </w:rPr>
      <w:fldChar w:fldCharType="end"/>
    </w:r>
    <w:r>
      <w:rPr>
        <w:rFonts w:ascii="Titillium" w:hAnsi="Titillium"/>
        <w:sz w:val="16"/>
        <w:szCs w:val="16"/>
      </w:rPr>
      <w:t xml:space="preserve"> a </w:t>
    </w:r>
    <w:r>
      <w:rPr>
        <w:rFonts w:ascii="Titillium" w:hAnsi="Titillium"/>
        <w:b/>
        <w:bCs/>
        <w:sz w:val="16"/>
        <w:szCs w:val="16"/>
      </w:rPr>
      <w:fldChar w:fldCharType="begin"/>
    </w:r>
    <w:r>
      <w:rPr>
        <w:rFonts w:ascii="Titillium" w:hAnsi="Titillium"/>
        <w:b/>
        <w:bCs/>
        <w:sz w:val="16"/>
        <w:szCs w:val="16"/>
      </w:rPr>
      <w:instrText>NUMPAGES</w:instrText>
    </w:r>
    <w:r>
      <w:rPr>
        <w:rFonts w:ascii="Titillium" w:hAnsi="Titillium"/>
        <w:b/>
        <w:bCs/>
        <w:sz w:val="16"/>
        <w:szCs w:val="16"/>
      </w:rPr>
      <w:fldChar w:fldCharType="separate"/>
    </w:r>
    <w:r>
      <w:rPr>
        <w:rFonts w:ascii="Titillium" w:hAnsi="Titillium"/>
        <w:b/>
        <w:bCs/>
        <w:sz w:val="16"/>
        <w:szCs w:val="16"/>
      </w:rPr>
      <w:t>7</w:t>
    </w:r>
    <w:r>
      <w:rPr>
        <w:rFonts w:ascii="Titillium" w:hAnsi="Titillium"/>
        <w:b/>
        <w:bCs/>
        <w:sz w:val="16"/>
        <w:szCs w:val="16"/>
      </w:rPr>
      <w:fldChar w:fldCharType="end"/>
    </w:r>
  </w:p>
  <w:p w14:paraId="0E741DD3" w14:textId="77777777" w:rsidR="00B778EC" w:rsidRPr="00102D39" w:rsidRDefault="00000000" w:rsidP="00B36AFD">
    <w:pPr>
      <w:tabs>
        <w:tab w:val="center" w:pos="4819"/>
        <w:tab w:val="right" w:pos="9638"/>
      </w:tabs>
      <w:spacing w:before="0"/>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3EE4" w14:textId="77777777" w:rsidR="009B37C7" w:rsidRDefault="00000000">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9137" w14:textId="77777777" w:rsidR="009B37C7"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861F" w14:textId="77777777" w:rsidR="00B36AFD" w:rsidRPr="00540A88" w:rsidRDefault="00000000" w:rsidP="00B36AFD">
    <w:pPr>
      <w:tabs>
        <w:tab w:val="center" w:pos="4819"/>
        <w:tab w:val="right" w:pos="9638"/>
      </w:tabs>
      <w:jc w:val="center"/>
      <w:rPr>
        <w:rFonts w:ascii="Titillium" w:hAnsi="Titillium"/>
        <w:sz w:val="16"/>
        <w:szCs w:val="16"/>
      </w:rPr>
    </w:pPr>
    <w:bookmarkStart w:id="8" w:name="_Hlk126843005"/>
    <w:bookmarkStart w:id="9" w:name="_Hlk126843437"/>
    <w:bookmarkStart w:id="10" w:name="_Hlk126843438"/>
    <w:bookmarkStart w:id="11" w:name="_Hlk126843439"/>
    <w:bookmarkStart w:id="12" w:name="_Hlk126843440"/>
    <w:r w:rsidRPr="00540A88">
      <w:rPr>
        <w:rFonts w:ascii="Titillium" w:hAnsi="Titillium"/>
        <w:sz w:val="16"/>
        <w:szCs w:val="16"/>
      </w:rPr>
      <w:t>REGIONE BASILICATA</w:t>
    </w:r>
  </w:p>
  <w:p w14:paraId="2C7A50C5" w14:textId="77777777" w:rsidR="00B36AFD" w:rsidRPr="00540A88" w:rsidRDefault="00000000" w:rsidP="00B36AFD">
    <w:pPr>
      <w:tabs>
        <w:tab w:val="center" w:pos="4819"/>
        <w:tab w:val="right" w:pos="9638"/>
      </w:tabs>
      <w:jc w:val="center"/>
      <w:rPr>
        <w:rFonts w:ascii="Titillium" w:hAnsi="Titillium"/>
        <w:sz w:val="16"/>
        <w:szCs w:val="16"/>
      </w:rPr>
    </w:pPr>
    <w:r w:rsidRPr="00540A88">
      <w:rPr>
        <w:rFonts w:ascii="Titillium" w:hAnsi="Titillium"/>
        <w:sz w:val="16"/>
        <w:szCs w:val="16"/>
      </w:rPr>
      <w:t>Stazione Unica Appaltante – Ufficio Centrale di Committenza e Soggetto Aggregatore</w:t>
    </w:r>
  </w:p>
  <w:p w14:paraId="6B7952A1" w14:textId="77777777" w:rsidR="00B36AFD" w:rsidRDefault="00000000" w:rsidP="00B36AFD">
    <w:pPr>
      <w:tabs>
        <w:tab w:val="center" w:pos="4819"/>
        <w:tab w:val="right" w:pos="9638"/>
      </w:tabs>
      <w:jc w:val="center"/>
      <w:rPr>
        <w:rFonts w:ascii="Titillium" w:hAnsi="Titillium"/>
        <w:sz w:val="16"/>
        <w:szCs w:val="16"/>
      </w:rPr>
    </w:pPr>
    <w:r w:rsidRPr="00540A88">
      <w:rPr>
        <w:rFonts w:ascii="Titillium" w:hAnsi="Titillium"/>
        <w:sz w:val="16"/>
        <w:szCs w:val="16"/>
      </w:rPr>
      <w:t xml:space="preserve">Via Vincenzo </w:t>
    </w:r>
    <w:proofErr w:type="spellStart"/>
    <w:r w:rsidRPr="00540A88">
      <w:rPr>
        <w:rFonts w:ascii="Titillium" w:hAnsi="Titillium"/>
        <w:sz w:val="16"/>
        <w:szCs w:val="16"/>
      </w:rPr>
      <w:t>Verrastro</w:t>
    </w:r>
    <w:proofErr w:type="spellEnd"/>
    <w:r w:rsidRPr="00540A88">
      <w:rPr>
        <w:rFonts w:ascii="Titillium" w:hAnsi="Titillium"/>
        <w:sz w:val="16"/>
        <w:szCs w:val="16"/>
      </w:rPr>
      <w:t>, 4 – 85100 Potenza</w:t>
    </w:r>
  </w:p>
  <w:bookmarkEnd w:id="8"/>
  <w:bookmarkEnd w:id="9"/>
  <w:bookmarkEnd w:id="10"/>
  <w:bookmarkEnd w:id="11"/>
  <w:bookmarkEnd w:id="12"/>
  <w:p w14:paraId="2863EC1E" w14:textId="77777777" w:rsidR="00B36AFD" w:rsidRPr="006014A2" w:rsidRDefault="00000000" w:rsidP="00B36AFD">
    <w:pPr>
      <w:tabs>
        <w:tab w:val="center" w:pos="4819"/>
        <w:tab w:val="right" w:pos="9638"/>
      </w:tabs>
      <w:jc w:val="center"/>
      <w:rPr>
        <w:rFonts w:ascii="Titillium" w:hAnsi="Titillium"/>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2E64" w14:textId="77777777" w:rsidR="007C370E" w:rsidRDefault="00000000" w:rsidP="007C370E">
    <w:pPr>
      <w:pStyle w:val="Intestazione"/>
      <w:jc w:val="center"/>
    </w:pPr>
    <w:r>
      <w:rPr>
        <w:i/>
        <w:noProof/>
        <w:color w:val="002060"/>
        <w:sz w:val="18"/>
        <w:szCs w:val="18"/>
      </w:rPr>
      <w:drawing>
        <wp:inline distT="0" distB="0" distL="0" distR="0" wp14:anchorId="1D736D75" wp14:editId="703AF0DA">
          <wp:extent cx="1810385" cy="8597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859790"/>
                  </a:xfrm>
                  <a:prstGeom prst="rect">
                    <a:avLst/>
                  </a:prstGeom>
                  <a:noFill/>
                </pic:spPr>
              </pic:pic>
            </a:graphicData>
          </a:graphic>
        </wp:inline>
      </w:drawing>
    </w:r>
  </w:p>
  <w:p w14:paraId="6CE29D2C" w14:textId="77777777" w:rsidR="00B778EC" w:rsidRDefault="00000000" w:rsidP="00B778E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1BC6"/>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043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36"/>
    <w:rsid w:val="00904936"/>
    <w:rsid w:val="00AA7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86AE"/>
  <w15:chartTrackingRefBased/>
  <w15:docId w15:val="{AD45ED36-FB56-4234-8621-62E9CE1D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4936"/>
    <w:pPr>
      <w:spacing w:before="60" w:after="0" w:line="240" w:lineRule="auto"/>
      <w:jc w:val="both"/>
    </w:pPr>
    <w:rPr>
      <w:rFonts w:ascii="Calibri" w:eastAsia="Cambria"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0493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904936"/>
    <w:rPr>
      <w:rFonts w:ascii="Calibri" w:eastAsia="Cambria" w:hAnsi="Calibri" w:cs="Times New Roman"/>
      <w:sz w:val="20"/>
      <w:szCs w:val="20"/>
      <w:lang w:eastAsia="it-IT"/>
    </w:rPr>
  </w:style>
  <w:style w:type="paragraph" w:styleId="Intestazione">
    <w:name w:val="header"/>
    <w:basedOn w:val="Normale"/>
    <w:link w:val="IntestazioneCarattere"/>
    <w:uiPriority w:val="99"/>
    <w:rsid w:val="00904936"/>
    <w:pPr>
      <w:tabs>
        <w:tab w:val="center" w:pos="4819"/>
        <w:tab w:val="right" w:pos="9638"/>
      </w:tabs>
    </w:pPr>
  </w:style>
  <w:style w:type="character" w:customStyle="1" w:styleId="IntestazioneCarattere">
    <w:name w:val="Intestazione Carattere"/>
    <w:basedOn w:val="Carpredefinitoparagrafo"/>
    <w:link w:val="Intestazione"/>
    <w:uiPriority w:val="99"/>
    <w:rsid w:val="00904936"/>
    <w:rPr>
      <w:rFonts w:ascii="Calibri" w:eastAsia="Cambria" w:hAnsi="Calibri" w:cs="Times New Roman"/>
      <w:lang w:eastAsia="it-IT"/>
    </w:rPr>
  </w:style>
  <w:style w:type="table" w:styleId="Grigliatabella">
    <w:name w:val="Table Grid"/>
    <w:basedOn w:val="Tabellanormale"/>
    <w:rsid w:val="0090493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Normale"/>
    <w:uiPriority w:val="99"/>
    <w:rsid w:val="00904936"/>
    <w:pPr>
      <w:widowControl w:val="0"/>
      <w:autoSpaceDE w:val="0"/>
      <w:autoSpaceDN w:val="0"/>
      <w:adjustRightInd w:val="0"/>
      <w:spacing w:before="0" w:line="382" w:lineRule="exact"/>
    </w:pPr>
    <w:rPr>
      <w:rFonts w:ascii="Arial" w:eastAsia="Times New Roman" w:hAnsi="Arial" w:cs="Arial"/>
      <w:sz w:val="24"/>
      <w:szCs w:val="24"/>
    </w:rPr>
  </w:style>
  <w:style w:type="character" w:customStyle="1" w:styleId="FontStyle19">
    <w:name w:val="Font Style19"/>
    <w:uiPriority w:val="99"/>
    <w:rsid w:val="00904936"/>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Locicero Venera</dc:creator>
  <cp:keywords/>
  <dc:description/>
  <cp:lastModifiedBy>Locicero Venera</cp:lastModifiedBy>
  <cp:revision>1</cp:revision>
  <dcterms:created xsi:type="dcterms:W3CDTF">2023-02-22T10:38:00Z</dcterms:created>
  <dcterms:modified xsi:type="dcterms:W3CDTF">2023-02-22T10:39:00Z</dcterms:modified>
</cp:coreProperties>
</file>