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7032" w14:textId="77777777" w:rsidR="00F7527F" w:rsidRDefault="00F7527F" w:rsidP="00F7527F">
      <w:pPr>
        <w:keepNext/>
        <w:spacing w:before="120" w:after="120" w:line="240" w:lineRule="auto"/>
        <w:jc w:val="center"/>
        <w:rPr>
          <w:rFonts w:eastAsia="Cambria" w:cs="Arial"/>
          <w:b/>
          <w:bCs/>
          <w:color w:val="000000"/>
          <w:sz w:val="28"/>
          <w:szCs w:val="28"/>
        </w:rPr>
      </w:pPr>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2354C107" w14:textId="373C9C12" w:rsidR="00170826" w:rsidRDefault="00032FFC" w:rsidP="00032FFC">
      <w:pPr>
        <w:snapToGrid w:val="0"/>
        <w:ind w:right="-21"/>
        <w:rPr>
          <w:rFonts w:ascii="Palatino Linotype" w:hAnsi="Palatino Linotype" w:cs="Arial"/>
          <w:b/>
          <w:sz w:val="32"/>
          <w:szCs w:val="32"/>
        </w:rPr>
      </w:pPr>
      <w:r w:rsidRPr="00032FFC">
        <w:rPr>
          <w:rFonts w:ascii="Palatino Linotype" w:hAnsi="Palatino Linotype" w:cs="Arial"/>
          <w:b/>
          <w:sz w:val="32"/>
          <w:szCs w:val="32"/>
        </w:rPr>
        <w:t xml:space="preserve">PROCEDURA APERTA TELEMATICA PER LA FORNITURA DI DISPOSITIVI MEDICI PER SENOLOGIA OCCORRENTI </w:t>
      </w:r>
      <w:r w:rsidR="00BD1FAC">
        <w:rPr>
          <w:rFonts w:ascii="Palatino Linotype" w:hAnsi="Palatino Linotype" w:cs="Arial"/>
          <w:b/>
          <w:sz w:val="32"/>
          <w:szCs w:val="32"/>
        </w:rPr>
        <w:t>A</w:t>
      </w:r>
      <w:r w:rsidRPr="00032FFC">
        <w:rPr>
          <w:rFonts w:ascii="Palatino Linotype" w:hAnsi="Palatino Linotype" w:cs="Arial"/>
          <w:b/>
          <w:sz w:val="32"/>
          <w:szCs w:val="32"/>
        </w:rPr>
        <w:t>LL’A.O.R. “SAN CARLO” DI POTENZA</w:t>
      </w:r>
    </w:p>
    <w:p w14:paraId="4D2A5BA2" w14:textId="77777777" w:rsidR="00032FFC" w:rsidRPr="00C167BD" w:rsidRDefault="00032FFC" w:rsidP="00032FFC">
      <w:pPr>
        <w:snapToGrid w:val="0"/>
        <w:ind w:right="-21"/>
        <w:rPr>
          <w:rFonts w:cs="Calibri"/>
          <w:b/>
          <w:szCs w:val="20"/>
        </w:rPr>
      </w:pPr>
    </w:p>
    <w:p w14:paraId="77023132" w14:textId="41AA5E77" w:rsidR="00B40C45" w:rsidRPr="00137F32" w:rsidRDefault="00B40C45" w:rsidP="00B40C45">
      <w:pPr>
        <w:tabs>
          <w:tab w:val="right" w:pos="9638"/>
        </w:tabs>
        <w:jc w:val="center"/>
        <w:rPr>
          <w:rFonts w:ascii="Palatino Linotype" w:hAnsi="Palatino Linotype"/>
          <w:b/>
          <w:sz w:val="20"/>
          <w:szCs w:val="20"/>
        </w:rPr>
      </w:pPr>
      <w:r w:rsidRPr="00602182">
        <w:rPr>
          <w:rFonts w:ascii="Palatino Linotype" w:hAnsi="Palatino Linotype"/>
          <w:b/>
        </w:rPr>
        <w:t xml:space="preserve">SIMOG </w:t>
      </w:r>
      <w:r w:rsidRPr="00137F32">
        <w:rPr>
          <w:rFonts w:ascii="Palatino Linotype" w:hAnsi="Palatino Linotype"/>
          <w:b/>
        </w:rPr>
        <w:t>gara n.</w:t>
      </w:r>
      <w:r w:rsidRPr="00137F32">
        <w:rPr>
          <w:b/>
        </w:rPr>
        <w:t xml:space="preserve"> </w:t>
      </w:r>
      <w:r w:rsidR="00137F32" w:rsidRPr="00137F32">
        <w:rPr>
          <w:b/>
        </w:rPr>
        <w:t>8179544</w:t>
      </w:r>
    </w:p>
    <w:p w14:paraId="49D117C3" w14:textId="77777777" w:rsidR="00170826" w:rsidRDefault="00170826" w:rsidP="00170826">
      <w:pPr>
        <w:snapToGrid w:val="0"/>
        <w:ind w:right="-21"/>
        <w:jc w:val="center"/>
        <w:rPr>
          <w:rFonts w:ascii="Palatino Linotype" w:hAnsi="Palatino Linotype" w:cs="Calibri"/>
          <w:b/>
          <w:szCs w:val="20"/>
        </w:rPr>
      </w:pPr>
    </w:p>
    <w:p w14:paraId="5FEA11BD" w14:textId="77777777" w:rsidR="000E02CD" w:rsidRDefault="000E02CD" w:rsidP="00170826">
      <w:pPr>
        <w:snapToGrid w:val="0"/>
        <w:ind w:right="-21"/>
        <w:jc w:val="center"/>
        <w:rPr>
          <w:rFonts w:ascii="Palatino Linotype" w:hAnsi="Palatino Linotype" w:cs="Calibri"/>
          <w:b/>
          <w:szCs w:val="20"/>
        </w:rPr>
      </w:pPr>
    </w:p>
    <w:p w14:paraId="31B75EAC" w14:textId="77777777" w:rsidR="000E02CD" w:rsidRDefault="000E02CD" w:rsidP="00170826">
      <w:pPr>
        <w:snapToGrid w:val="0"/>
        <w:ind w:right="-21"/>
        <w:jc w:val="center"/>
        <w:rPr>
          <w:rFonts w:ascii="Palatino Linotype" w:hAnsi="Palatino Linotype" w:cs="Calibri"/>
          <w:b/>
          <w:szCs w:val="20"/>
        </w:rPr>
      </w:pPr>
    </w:p>
    <w:p w14:paraId="62B7AC3F" w14:textId="77777777" w:rsidR="000E02CD" w:rsidRPr="00911A62" w:rsidRDefault="000E02CD" w:rsidP="00170826">
      <w:pPr>
        <w:snapToGrid w:val="0"/>
        <w:ind w:right="-21"/>
        <w:jc w:val="center"/>
        <w:rPr>
          <w:rFonts w:ascii="Palatino Linotype" w:hAnsi="Palatino Linotype" w:cs="Calibri"/>
          <w:b/>
          <w:szCs w:val="20"/>
        </w:rPr>
      </w:pPr>
    </w:p>
    <w:p w14:paraId="758982EB" w14:textId="77777777" w:rsidR="00170826" w:rsidRPr="00911A62" w:rsidRDefault="00170826" w:rsidP="00170826">
      <w:pPr>
        <w:snapToGrid w:val="0"/>
        <w:ind w:right="-21"/>
        <w:jc w:val="center"/>
        <w:rPr>
          <w:rFonts w:ascii="Palatino Linotype" w:hAnsi="Palatino Linotype" w:cs="Calibri"/>
          <w:b/>
          <w:szCs w:val="20"/>
        </w:rPr>
      </w:pPr>
    </w:p>
    <w:p w14:paraId="0D5A78BB"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24CF075B" w14:textId="23B7495B" w:rsidR="003D6384" w:rsidRPr="00C167BD" w:rsidRDefault="0080471F" w:rsidP="003D6384">
      <w:pPr>
        <w:keepNext/>
        <w:spacing w:before="120" w:after="120" w:line="240" w:lineRule="auto"/>
        <w:jc w:val="center"/>
        <w:rPr>
          <w:rFonts w:eastAsia="Cambria" w:cs="Arial"/>
          <w:b/>
          <w:bCs/>
          <w:color w:val="000000"/>
          <w:sz w:val="32"/>
          <w:szCs w:val="32"/>
          <w:u w:val="single"/>
        </w:rPr>
      </w:pPr>
      <w:r>
        <w:rPr>
          <w:rFonts w:eastAsia="Cambria" w:cs="Arial"/>
          <w:b/>
          <w:bCs/>
          <w:color w:val="000000"/>
          <w:sz w:val="32"/>
          <w:szCs w:val="32"/>
          <w:u w:val="single"/>
        </w:rPr>
        <w:t xml:space="preserve">Allegato </w:t>
      </w:r>
      <w:r w:rsidR="00AF309A">
        <w:rPr>
          <w:rFonts w:eastAsia="Cambria" w:cs="Arial"/>
          <w:b/>
          <w:bCs/>
          <w:color w:val="000000"/>
          <w:sz w:val="32"/>
          <w:szCs w:val="32"/>
          <w:u w:val="single"/>
        </w:rPr>
        <w:t xml:space="preserve">n. </w:t>
      </w:r>
      <w:r>
        <w:rPr>
          <w:rFonts w:eastAsia="Cambria" w:cs="Arial"/>
          <w:b/>
          <w:bCs/>
          <w:color w:val="000000"/>
          <w:sz w:val="32"/>
          <w:szCs w:val="32"/>
          <w:u w:val="single"/>
        </w:rPr>
        <w:t>2</w:t>
      </w:r>
    </w:p>
    <w:p w14:paraId="62D6512F"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2F55B34"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73243318" w14:textId="77777777" w:rsidR="00CF6887" w:rsidRPr="00CF6887"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DOCUMENTO DI GARA UNICO EUROPEO</w:t>
      </w:r>
    </w:p>
    <w:p w14:paraId="29B8BFA5" w14:textId="4EC90D90" w:rsidR="00F7527F"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19B5B9B8" w:rsidR="00BE778D" w:rsidRPr="007E0231"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7E0231">
        <w:rPr>
          <w:rFonts w:ascii="Arial" w:eastAsia="Calibri" w:hAnsi="Arial" w:cs="Arial"/>
          <w:b/>
          <w:color w:val="00000A"/>
          <w:kern w:val="1"/>
          <w:sz w:val="15"/>
          <w:szCs w:val="15"/>
          <w:lang w:eastAsia="it-IT" w:bidi="it-IT"/>
        </w:rPr>
        <w:t xml:space="preserve">GU UE </w:t>
      </w:r>
      <w:r w:rsidR="00700188" w:rsidRPr="007E0231">
        <w:rPr>
          <w:rFonts w:ascii="Arial" w:eastAsia="Calibri" w:hAnsi="Arial" w:cs="Arial"/>
          <w:b/>
          <w:bCs/>
          <w:color w:val="00000A"/>
          <w:kern w:val="1"/>
          <w:sz w:val="15"/>
          <w:szCs w:val="15"/>
          <w:lang w:eastAsia="it-IT" w:bidi="it-IT"/>
        </w:rPr>
        <w:t xml:space="preserve">2019/S </w:t>
      </w:r>
      <w:r w:rsidR="000E02CD" w:rsidRPr="007E0231">
        <w:rPr>
          <w:rFonts w:ascii="Arial" w:eastAsia="Calibri" w:hAnsi="Arial" w:cs="Arial"/>
          <w:b/>
          <w:bCs/>
          <w:color w:val="00000A"/>
          <w:kern w:val="1"/>
          <w:sz w:val="15"/>
          <w:szCs w:val="15"/>
          <w:lang w:eastAsia="it-IT" w:bidi="it-IT"/>
        </w:rPr>
        <w:t>__________________</w:t>
      </w:r>
    </w:p>
    <w:p w14:paraId="4A7C0842" w14:textId="0CD35EB6"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6C5E76">
        <w:rPr>
          <w:rFonts w:ascii="Arial" w:eastAsia="Calibri" w:hAnsi="Arial" w:cs="Arial"/>
          <w:b/>
          <w:color w:val="00000A"/>
          <w:kern w:val="1"/>
          <w:sz w:val="15"/>
          <w:szCs w:val="15"/>
          <w:lang w:eastAsia="it-IT" w:bidi="it-IT"/>
        </w:rPr>
        <w:t>Gazzetta Ufficiale</w:t>
      </w:r>
      <w:r w:rsidR="006C5E76" w:rsidRPr="006C5E76">
        <w:rPr>
          <w:rFonts w:ascii="Arial" w:eastAsia="Calibri" w:hAnsi="Arial" w:cs="Arial"/>
          <w:b/>
          <w:color w:val="00000A"/>
          <w:kern w:val="1"/>
          <w:sz w:val="15"/>
          <w:szCs w:val="15"/>
          <w:lang w:eastAsia="it-IT" w:bidi="it-IT"/>
        </w:rPr>
        <w:t xml:space="preserve"> </w:t>
      </w:r>
      <w:r w:rsidR="00137F32" w:rsidRPr="00137F32">
        <w:rPr>
          <w:rFonts w:ascii="Arial" w:eastAsia="Calibri" w:hAnsi="Arial" w:cs="Arial"/>
          <w:b/>
          <w:color w:val="00000A"/>
          <w:kern w:val="1"/>
          <w:sz w:val="15"/>
          <w:szCs w:val="15"/>
          <w:lang w:eastAsia="it-IT" w:bidi="it-IT"/>
        </w:rPr>
        <w:t>V Serie Speciale - Contratti Pubblici n. 68 del 16/06/2021</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72781C5D" w:rsidR="00CF6887" w:rsidRPr="00CF6887" w:rsidRDefault="00CF6887" w:rsidP="000E02CD">
            <w:pPr>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Uffici</w:t>
            </w:r>
            <w:r w:rsidR="00C167BD">
              <w:rPr>
                <w:rFonts w:ascii="Arial" w:eastAsia="Calibri" w:hAnsi="Arial" w:cs="Arial"/>
                <w:b/>
                <w:color w:val="000000"/>
                <w:kern w:val="1"/>
                <w:sz w:val="14"/>
                <w:szCs w:val="14"/>
                <w:lang w:eastAsia="it-IT" w:bidi="it-IT"/>
              </w:rPr>
              <w:t xml:space="preserve">o </w:t>
            </w:r>
            <w:r w:rsidR="00032FFC">
              <w:rPr>
                <w:rFonts w:ascii="Arial" w:eastAsia="Calibri" w:hAnsi="Arial" w:cs="Arial"/>
                <w:b/>
                <w:color w:val="000000"/>
                <w:kern w:val="1"/>
                <w:sz w:val="14"/>
                <w:szCs w:val="14"/>
                <w:lang w:eastAsia="it-IT" w:bidi="it-IT"/>
              </w:rPr>
              <w:t>Centrale di Committenza e Soggetto Aggregatore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D14498" w14:textId="7078D443" w:rsidR="00CF6887" w:rsidRPr="00CF6887" w:rsidRDefault="00032FFC" w:rsidP="000E02CD">
            <w:pPr>
              <w:tabs>
                <w:tab w:val="left" w:pos="1983"/>
              </w:tabs>
              <w:suppressAutoHyphens/>
              <w:spacing w:before="120" w:after="120" w:line="240" w:lineRule="auto"/>
              <w:jc w:val="left"/>
              <w:rPr>
                <w:rFonts w:ascii="Times New Roman" w:eastAsia="Calibri" w:hAnsi="Times New Roman"/>
                <w:color w:val="00000A"/>
                <w:kern w:val="1"/>
                <w:lang w:eastAsia="it-IT" w:bidi="it-IT"/>
              </w:rPr>
            </w:pPr>
            <w:r w:rsidRPr="00032FFC">
              <w:rPr>
                <w:rFonts w:ascii="Arial" w:eastAsia="Calibri" w:hAnsi="Arial" w:cs="Arial"/>
                <w:color w:val="00000A"/>
                <w:kern w:val="1"/>
                <w:sz w:val="14"/>
                <w:szCs w:val="14"/>
                <w:lang w:eastAsia="it-IT" w:bidi="it-IT"/>
              </w:rPr>
              <w:t xml:space="preserve">Procedura aperta telematica per la fornitura di dispositivi medici per senologia occorrenti </w:t>
            </w:r>
            <w:r w:rsidR="00BD1FAC">
              <w:rPr>
                <w:rFonts w:ascii="Arial" w:eastAsia="Calibri" w:hAnsi="Arial" w:cs="Arial"/>
                <w:color w:val="00000A"/>
                <w:kern w:val="1"/>
                <w:sz w:val="14"/>
                <w:szCs w:val="14"/>
                <w:lang w:eastAsia="it-IT" w:bidi="it-IT"/>
              </w:rPr>
              <w:t>a</w:t>
            </w:r>
            <w:bookmarkStart w:id="0" w:name="_GoBack"/>
            <w:bookmarkEnd w:id="0"/>
            <w:r w:rsidRPr="00032FFC">
              <w:rPr>
                <w:rFonts w:ascii="Arial" w:eastAsia="Calibri" w:hAnsi="Arial" w:cs="Arial"/>
                <w:color w:val="00000A"/>
                <w:kern w:val="1"/>
                <w:sz w:val="14"/>
                <w:szCs w:val="14"/>
                <w:lang w:eastAsia="it-IT" w:bidi="it-IT"/>
              </w:rPr>
              <w:t xml:space="preserve">ll’A.O.R. “San Carlo” di Potenza  </w:t>
            </w:r>
            <w:r w:rsidR="00137F32">
              <w:rPr>
                <w:rFonts w:ascii="Arial" w:eastAsia="Calibri" w:hAnsi="Arial" w:cs="Arial"/>
                <w:color w:val="00000A"/>
                <w:kern w:val="1"/>
                <w:sz w:val="14"/>
                <w:szCs w:val="14"/>
                <w:lang w:eastAsia="it-IT" w:bidi="it-IT"/>
              </w:rPr>
              <w:t xml:space="preserve"> - SIMOG gara n. </w:t>
            </w:r>
            <w:r w:rsidR="00137F32" w:rsidRPr="00137F32">
              <w:rPr>
                <w:rFonts w:ascii="Arial" w:eastAsia="Calibri" w:hAnsi="Arial" w:cs="Arial"/>
                <w:color w:val="00000A"/>
                <w:kern w:val="1"/>
                <w:sz w:val="14"/>
                <w:szCs w:val="14"/>
                <w:lang w:eastAsia="it-IT" w:bidi="it-IT"/>
              </w:rPr>
              <w:t>8179544</w:t>
            </w: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0456A411" w:rsidR="00CF6887" w:rsidRPr="00CF6887" w:rsidRDefault="00CF6887" w:rsidP="009A3225">
            <w:pPr>
              <w:suppressAutoHyphens/>
              <w:spacing w:before="120" w:after="120" w:line="240" w:lineRule="auto"/>
              <w:jc w:val="left"/>
              <w:rPr>
                <w:rFonts w:ascii="Times New Roman" w:eastAsia="Calibri" w:hAnsi="Times New Roman"/>
                <w:b/>
                <w:color w:val="00000A"/>
                <w:kern w:val="1"/>
                <w:highlight w:val="yellow"/>
                <w:lang w:eastAsia="it-IT" w:bidi="it-IT"/>
              </w:rPr>
            </w:pP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3AB9B6D5" w:rsidR="00CF6887" w:rsidRPr="00B40C45" w:rsidRDefault="000E02CD" w:rsidP="00B40C45">
            <w:pPr>
              <w:suppressAutoHyphens/>
              <w:spacing w:before="120" w:after="120" w:line="240" w:lineRule="auto"/>
              <w:jc w:val="left"/>
              <w:rPr>
                <w:rFonts w:ascii="Arial" w:eastAsia="Calibri" w:hAnsi="Arial" w:cs="Arial"/>
                <w:b/>
                <w:color w:val="000000"/>
                <w:kern w:val="1"/>
                <w:sz w:val="14"/>
                <w:szCs w:val="14"/>
                <w:lang w:eastAsia="it-IT" w:bidi="it-IT"/>
              </w:rPr>
            </w:pPr>
            <w:r>
              <w:rPr>
                <w:rFonts w:ascii="Arial" w:eastAsia="Calibri" w:hAnsi="Arial" w:cs="Arial"/>
                <w:b/>
                <w:color w:val="000000"/>
                <w:kern w:val="1"/>
                <w:sz w:val="14"/>
                <w:szCs w:val="14"/>
                <w:lang w:eastAsia="it-IT" w:bidi="it-IT"/>
              </w:rPr>
              <w:t xml:space="preserve">CIG </w:t>
            </w: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553FF82D" w14:textId="598B4FCE" w:rsidR="00BF629A" w:rsidRPr="00BF629A" w:rsidRDefault="00BF629A" w:rsidP="00CF6887">
            <w:pPr>
              <w:suppressAutoHyphens/>
              <w:spacing w:before="120" w:after="120" w:line="240" w:lineRule="auto"/>
              <w:jc w:val="left"/>
              <w:rPr>
                <w:rFonts w:ascii="Arial" w:eastAsia="Calibri" w:hAnsi="Arial" w:cs="Arial"/>
                <w:b/>
                <w:color w:val="000000"/>
                <w:kern w:val="1"/>
                <w:sz w:val="14"/>
                <w:szCs w:val="14"/>
                <w:lang w:eastAsia="it-IT" w:bidi="it-IT"/>
              </w:rPr>
            </w:pPr>
          </w:p>
          <w:p w14:paraId="0D5E3D2D" w14:textId="53F7B57E"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68049AAF" w14:textId="77777777" w:rsidR="00166782" w:rsidRDefault="00166782" w:rsidP="00166782">
      <w:pPr>
        <w:keepNext/>
        <w:suppressAutoHyphens/>
        <w:spacing w:line="240" w:lineRule="auto"/>
        <w:rPr>
          <w:rFonts w:ascii="Times New Roman" w:eastAsia="Calibri" w:hAnsi="Times New Roman"/>
          <w:b/>
          <w:color w:val="00000A"/>
          <w:kern w:val="1"/>
          <w:sz w:val="18"/>
          <w:szCs w:val="18"/>
          <w:lang w:eastAsia="it-IT" w:bidi="it-IT"/>
        </w:rPr>
      </w:pP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49"/>
        <w:gridCol w:w="3995"/>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lastRenderedPageBreak/>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del Codice  (capofila, responsabile di compiti specifici,ecc.):</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pertinente, indicare il lotto o i lotti per i quali l'operatore economico intende presentare </w:t>
            </w:r>
            <w:r w:rsidRPr="00CF6887">
              <w:rPr>
                <w:rFonts w:ascii="Arial" w:eastAsia="Calibri" w:hAnsi="Arial" w:cs="Arial"/>
                <w:color w:val="00000A"/>
                <w:kern w:val="1"/>
                <w:sz w:val="15"/>
                <w:szCs w:val="15"/>
                <w:lang w:eastAsia="it-IT" w:bidi="it-IT"/>
              </w:rPr>
              <w:lastRenderedPageBreak/>
              <w:t>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13AF27BC"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durata del periodo d'esclusione [..…],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 xml:space="preserve">(autodisciplina o “Self-Cleaning”,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per le ipotesi 1) e 2 l’operatore economico ha adottato misure di carattere tecnico o organizzativo e relativi al personale idonei a prevenire ulteriori illeciti o reati ?</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lastRenderedPageBreak/>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o “Self-Cleaning,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77777777"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7777777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 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7777777"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lastRenderedPageBreak/>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lastRenderedPageBreak/>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 ?</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lastRenderedPageBreak/>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Nel caso in cui l’operatore non è tenuto alla disciplina legge 68/1999 indicare le motivazioni:</w:t>
            </w:r>
          </w:p>
          <w:p w14:paraId="31A0E3DF"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 [………..…][……….…][……….…]</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 ricorrono i casi previsti all’articolo 4, primo comma, della Legge 24 novembre 1981, n. 689 (articolo 80, comma 5, lettera l) ?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77777777"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a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77777777"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2" w:name="_DV_M4301"/>
            <w:bookmarkStart w:id="3" w:name="_DV_M4300"/>
            <w:bookmarkEnd w:id="2"/>
            <w:bookmarkEnd w:id="3"/>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7777777"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77777777"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7777777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77777777"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77777777"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lastRenderedPageBreak/>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7777777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4" w:name="_DV_C939"/>
      <w:bookmarkEnd w:id="4"/>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A47EDB">
      <w:headerReference w:type="default" r:id="rId18"/>
      <w:footerReference w:type="default" r:id="rId19"/>
      <w:headerReference w:type="first" r:id="rId20"/>
      <w:type w:val="continuous"/>
      <w:pgSz w:w="11907" w:h="16840" w:code="9"/>
      <w:pgMar w:top="1418" w:right="850"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9A82" w14:textId="77777777" w:rsidR="007676FD" w:rsidRDefault="007676FD" w:rsidP="002750E3">
      <w:pPr>
        <w:spacing w:line="240" w:lineRule="auto"/>
      </w:pPr>
      <w:r>
        <w:separator/>
      </w:r>
    </w:p>
  </w:endnote>
  <w:endnote w:type="continuationSeparator" w:id="0">
    <w:p w14:paraId="25EE48EC" w14:textId="77777777" w:rsidR="007676FD" w:rsidRDefault="007676FD"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E9A3" w14:textId="77777777" w:rsidR="000E02CD" w:rsidRDefault="000E02CD" w:rsidP="00117BE4">
    <w:pPr>
      <w:tabs>
        <w:tab w:val="center" w:pos="4819"/>
        <w:tab w:val="right" w:pos="9638"/>
      </w:tabs>
      <w:spacing w:line="240" w:lineRule="auto"/>
      <w:jc w:val="center"/>
      <w:rPr>
        <w:b/>
        <w:color w:val="002060"/>
        <w:sz w:val="18"/>
        <w:szCs w:val="18"/>
        <w:lang w:eastAsia="it-IT"/>
      </w:rPr>
    </w:pPr>
  </w:p>
  <w:p w14:paraId="5BFEE874" w14:textId="0D179AEE" w:rsidR="000E02CD" w:rsidRDefault="000E02CD" w:rsidP="00117BE4">
    <w:pPr>
      <w:tabs>
        <w:tab w:val="center" w:pos="4819"/>
        <w:tab w:val="right" w:pos="9638"/>
      </w:tabs>
      <w:spacing w:line="240" w:lineRule="auto"/>
      <w:jc w:val="center"/>
      <w:rPr>
        <w:b/>
        <w:color w:val="002060"/>
        <w:sz w:val="18"/>
        <w:szCs w:val="18"/>
        <w:lang w:eastAsia="it-IT"/>
      </w:rPr>
    </w:pPr>
    <w:r>
      <w:rPr>
        <w:b/>
        <w:bCs/>
        <w:color w:val="002060"/>
        <w:sz w:val="18"/>
        <w:szCs w:val="18"/>
        <w:lang w:eastAsia="it-IT"/>
      </w:rPr>
      <w:t>D.G.U.E.</w:t>
    </w:r>
  </w:p>
  <w:p w14:paraId="534CC642" w14:textId="77777777" w:rsidR="000E02CD" w:rsidRDefault="000E02CD" w:rsidP="00117BE4">
    <w:pPr>
      <w:tabs>
        <w:tab w:val="center" w:pos="4819"/>
        <w:tab w:val="right" w:pos="9638"/>
      </w:tabs>
      <w:spacing w:line="240" w:lineRule="auto"/>
      <w:jc w:val="center"/>
      <w:rPr>
        <w:color w:val="002060"/>
        <w:sz w:val="18"/>
        <w:szCs w:val="18"/>
        <w:lang w:eastAsia="it-IT"/>
      </w:rPr>
    </w:pPr>
  </w:p>
  <w:p w14:paraId="0E1AFC68" w14:textId="2EC4F6D5" w:rsidR="00D90E77" w:rsidRDefault="00D90E77" w:rsidP="00117BE4">
    <w:pPr>
      <w:tabs>
        <w:tab w:val="center" w:pos="4819"/>
        <w:tab w:val="right" w:pos="9638"/>
      </w:tabs>
      <w:spacing w:line="240" w:lineRule="auto"/>
      <w:jc w:val="center"/>
      <w:rPr>
        <w:color w:val="002060"/>
        <w:sz w:val="18"/>
        <w:szCs w:val="18"/>
        <w:lang w:eastAsia="it-IT"/>
      </w:rPr>
    </w:pPr>
    <w:r w:rsidRPr="00D90E77">
      <w:rPr>
        <w:color w:val="002060"/>
        <w:sz w:val="18"/>
        <w:szCs w:val="18"/>
        <w:lang w:eastAsia="it-IT"/>
      </w:rPr>
      <w:t>“</w:t>
    </w:r>
    <w:r w:rsidR="00032FFC" w:rsidRPr="00032FFC">
      <w:rPr>
        <w:color w:val="002060"/>
        <w:sz w:val="18"/>
        <w:szCs w:val="18"/>
        <w:lang w:eastAsia="it-IT"/>
      </w:rPr>
      <w:t xml:space="preserve">Procedura aperta telematica per la fornitura di dispositivi medici per senologia occorrenti </w:t>
    </w:r>
    <w:r w:rsidR="00BD1FAC">
      <w:rPr>
        <w:color w:val="002060"/>
        <w:sz w:val="18"/>
        <w:szCs w:val="18"/>
        <w:lang w:eastAsia="it-IT"/>
      </w:rPr>
      <w:t>a</w:t>
    </w:r>
    <w:r w:rsidR="00032FFC" w:rsidRPr="00032FFC">
      <w:rPr>
        <w:color w:val="002060"/>
        <w:sz w:val="18"/>
        <w:szCs w:val="18"/>
        <w:lang w:eastAsia="it-IT"/>
      </w:rPr>
      <w:t xml:space="preserve">ll’A.O.R. “San Carlo” di Potenza  </w:t>
    </w:r>
    <w:r w:rsidRPr="00D90E77">
      <w:rPr>
        <w:color w:val="002060"/>
        <w:sz w:val="18"/>
        <w:szCs w:val="18"/>
        <w:lang w:eastAsia="it-IT"/>
      </w:rPr>
      <w:t>”</w:t>
    </w:r>
  </w:p>
  <w:p w14:paraId="14B4DBC8" w14:textId="78F8E587" w:rsidR="000E02CD" w:rsidRPr="00117BE4" w:rsidRDefault="000E02CD" w:rsidP="008145E7">
    <w:pPr>
      <w:pStyle w:val="Pidipagina"/>
      <w:tabs>
        <w:tab w:val="clear" w:pos="9638"/>
        <w:tab w:val="right" w:pos="9639"/>
      </w:tabs>
      <w:spacing w:after="100"/>
      <w:jc w:val="left"/>
      <w:rPr>
        <w:color w:val="002060"/>
        <w:sz w:val="22"/>
        <w:szCs w:val="22"/>
        <w:lang w:val="it-IT"/>
      </w:rPr>
    </w:pPr>
    <w:r w:rsidRPr="0008683F">
      <w:rPr>
        <w:color w:val="002060"/>
        <w:sz w:val="22"/>
        <w:szCs w:val="22"/>
        <w:lang w:val="it-IT"/>
      </w:rPr>
      <w:tab/>
    </w:r>
    <w:r w:rsidRPr="0008683F">
      <w:rPr>
        <w:color w:val="002060"/>
        <w:sz w:val="22"/>
        <w:szCs w:val="22"/>
        <w:lang w:val="it-IT"/>
      </w:rPr>
      <w:tab/>
    </w:r>
    <w:sdt>
      <w:sdtPr>
        <w:rPr>
          <w:color w:val="002060"/>
          <w:sz w:val="22"/>
          <w:szCs w:val="22"/>
          <w:lang w:val="it-IT"/>
        </w:rPr>
        <w:id w:val="1600219262"/>
        <w:docPartObj>
          <w:docPartGallery w:val="Page Numbers (Bottom of Page)"/>
          <w:docPartUnique/>
        </w:docPartObj>
      </w:sdtPr>
      <w:sdtEndPr/>
      <w:sdtContent>
        <w:sdt>
          <w:sdtPr>
            <w:rPr>
              <w:color w:val="002060"/>
              <w:sz w:val="22"/>
              <w:szCs w:val="22"/>
              <w:lang w:val="it-IT"/>
            </w:rPr>
            <w:id w:val="251405601"/>
            <w:docPartObj>
              <w:docPartGallery w:val="Page Numbers (Top of Page)"/>
              <w:docPartUnique/>
            </w:docPartObj>
          </w:sdtPr>
          <w:sdtEndPr/>
          <w:sdtContent>
            <w:r w:rsidRPr="0008683F">
              <w:rPr>
                <w:color w:val="002060"/>
                <w:sz w:val="22"/>
                <w:szCs w:val="22"/>
                <w:lang w:val="it-IT"/>
              </w:rPr>
              <w:fldChar w:fldCharType="begin"/>
            </w:r>
            <w:r w:rsidRPr="0008683F">
              <w:rPr>
                <w:color w:val="002060"/>
                <w:sz w:val="22"/>
                <w:szCs w:val="22"/>
                <w:lang w:val="it-IT"/>
              </w:rPr>
              <w:instrText>PAGE</w:instrText>
            </w:r>
            <w:r w:rsidRPr="0008683F">
              <w:rPr>
                <w:color w:val="002060"/>
                <w:sz w:val="22"/>
                <w:szCs w:val="22"/>
                <w:lang w:val="it-IT"/>
              </w:rPr>
              <w:fldChar w:fldCharType="separate"/>
            </w:r>
            <w:r w:rsidR="007E0231">
              <w:rPr>
                <w:noProof/>
                <w:color w:val="002060"/>
                <w:sz w:val="22"/>
                <w:szCs w:val="22"/>
                <w:lang w:val="it-IT"/>
              </w:rPr>
              <w:t>2</w:t>
            </w:r>
            <w:r w:rsidRPr="0008683F">
              <w:rPr>
                <w:color w:val="002060"/>
                <w:sz w:val="22"/>
                <w:szCs w:val="22"/>
                <w:lang w:val="it-IT"/>
              </w:rPr>
              <w:fldChar w:fldCharType="end"/>
            </w:r>
            <w:r w:rsidRPr="0008683F">
              <w:rPr>
                <w:color w:val="002060"/>
                <w:sz w:val="22"/>
                <w:szCs w:val="22"/>
                <w:lang w:val="it-IT"/>
              </w:rPr>
              <w:t xml:space="preserve"> di </w:t>
            </w:r>
            <w:r w:rsidRPr="0008683F">
              <w:rPr>
                <w:color w:val="002060"/>
                <w:sz w:val="22"/>
                <w:szCs w:val="22"/>
                <w:lang w:val="it-IT"/>
              </w:rPr>
              <w:fldChar w:fldCharType="begin"/>
            </w:r>
            <w:r w:rsidRPr="0008683F">
              <w:rPr>
                <w:color w:val="002060"/>
                <w:sz w:val="22"/>
                <w:szCs w:val="22"/>
                <w:lang w:val="it-IT"/>
              </w:rPr>
              <w:instrText>NUMPAGES</w:instrText>
            </w:r>
            <w:r w:rsidRPr="0008683F">
              <w:rPr>
                <w:color w:val="002060"/>
                <w:sz w:val="22"/>
                <w:szCs w:val="22"/>
                <w:lang w:val="it-IT"/>
              </w:rPr>
              <w:fldChar w:fldCharType="separate"/>
            </w:r>
            <w:r w:rsidR="007E0231">
              <w:rPr>
                <w:noProof/>
                <w:color w:val="002060"/>
                <w:sz w:val="22"/>
                <w:szCs w:val="22"/>
                <w:lang w:val="it-IT"/>
              </w:rPr>
              <w:t>18</w:t>
            </w:r>
            <w:r w:rsidRPr="0008683F">
              <w:rPr>
                <w:color w:val="002060"/>
                <w:sz w:val="22"/>
                <w:szCs w:val="22"/>
                <w:lang w:val="it-I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1922" w14:textId="77777777" w:rsidR="007676FD" w:rsidRDefault="007676FD" w:rsidP="002750E3">
      <w:pPr>
        <w:spacing w:line="240" w:lineRule="auto"/>
      </w:pPr>
      <w:r>
        <w:separator/>
      </w:r>
    </w:p>
  </w:footnote>
  <w:footnote w:type="continuationSeparator" w:id="0">
    <w:p w14:paraId="53CD659E" w14:textId="77777777" w:rsidR="007676FD" w:rsidRDefault="007676FD" w:rsidP="002750E3">
      <w:pPr>
        <w:spacing w:line="240" w:lineRule="auto"/>
      </w:pPr>
      <w:r>
        <w:continuationSeparator/>
      </w:r>
    </w:p>
  </w:footnote>
  <w:footnote w:id="1">
    <w:p w14:paraId="20D2FAC2" w14:textId="77777777" w:rsidR="000E02CD" w:rsidRPr="001F35A9" w:rsidRDefault="000E02CD"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0E02CD" w:rsidRPr="001F35A9" w:rsidRDefault="000E02CD"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0E02CD" w:rsidRPr="001F35A9" w:rsidRDefault="000E02CD"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0E02CD" w:rsidRPr="001F35A9" w:rsidRDefault="000E02CD"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0E02CD" w:rsidRPr="001F35A9" w:rsidRDefault="000E02CD"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0E02CD" w:rsidRPr="001F35A9" w:rsidRDefault="000E02CD"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0E02CD" w:rsidRPr="001F35A9" w:rsidRDefault="000E02CD"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709E5A"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60BE46" w14:textId="77777777" w:rsidR="000E02CD" w:rsidRPr="003E60D1" w:rsidRDefault="000E02CD"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0E02CD" w:rsidRPr="003E60D1" w:rsidRDefault="000E02CD"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0E02CD" w:rsidRPr="003E60D1" w:rsidRDefault="000E02CD"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0E02CD" w:rsidRPr="003E60D1" w:rsidRDefault="000E02CD"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0E02CD" w:rsidRPr="003E60D1" w:rsidRDefault="000E02CD"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0E02CD" w:rsidRPr="00BF74E1" w:rsidRDefault="000E02CD"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0E02CD" w:rsidRPr="00F351F0" w:rsidRDefault="000E02CD"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0E02CD" w:rsidRPr="003E60D1" w:rsidRDefault="000E02CD"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0E02CD" w:rsidRPr="003E60D1" w:rsidRDefault="000E02CD"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0E02CD" w:rsidRPr="003E60D1" w:rsidRDefault="000E02CD"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0E99" w14:textId="77777777" w:rsidR="000E02CD" w:rsidRPr="003328E4" w:rsidRDefault="000E02CD"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0E02CD" w:rsidRDefault="000E02CD"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0E02CD" w:rsidRDefault="000E02CD"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Via Vincenzo Verrastro, 4 – 85100 Potenza</w:t>
    </w:r>
  </w:p>
  <w:p w14:paraId="38D2FB46" w14:textId="77777777" w:rsidR="000E02CD" w:rsidRPr="00357329" w:rsidRDefault="000E02CD" w:rsidP="00357329">
    <w:pPr>
      <w:tabs>
        <w:tab w:val="center" w:pos="4819"/>
        <w:tab w:val="right" w:pos="9638"/>
      </w:tabs>
      <w:spacing w:line="240" w:lineRule="auto"/>
      <w:jc w:val="center"/>
      <w:rPr>
        <w:rFonts w:ascii="Palatino Linotype" w:hAnsi="Palatino Linotype"/>
        <w:i/>
        <w:color w:val="00206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A1A9" w14:textId="50D4B9A9" w:rsidR="000E02CD" w:rsidRDefault="000E02CD" w:rsidP="00C15E01">
    <w:pPr>
      <w:pStyle w:val="Intestazione"/>
      <w:jc w:val="center"/>
    </w:pPr>
    <w:r>
      <w:rPr>
        <w:noProof/>
        <w:lang w:val="it-IT"/>
      </w:rPr>
      <w:drawing>
        <wp:inline distT="0" distB="0" distL="0" distR="0" wp14:anchorId="2ACE7497" wp14:editId="2356B7C5">
          <wp:extent cx="1809750" cy="8572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9"/>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20"/>
  </w:num>
  <w:num w:numId="13">
    <w:abstractNumId w:val="15"/>
  </w:num>
  <w:num w:numId="14">
    <w:abstractNumId w:val="16"/>
  </w:num>
  <w:num w:numId="15">
    <w:abstractNumId w:val="18"/>
  </w:num>
  <w:num w:numId="16">
    <w:abstractNumId w:val="14"/>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2FFC"/>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654"/>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82F"/>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4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2C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37F32"/>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769"/>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826"/>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CE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384"/>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A9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6DC"/>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5E76"/>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188"/>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A1"/>
    <w:rsid w:val="00760C5A"/>
    <w:rsid w:val="00760D31"/>
    <w:rsid w:val="00760E87"/>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6FD"/>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231"/>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71F"/>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2E52"/>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92B"/>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3F"/>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47EDB"/>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B60"/>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09A"/>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C45"/>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6C1"/>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1FAC"/>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67BD"/>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414"/>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482"/>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023"/>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10D"/>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E77"/>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246"/>
    <w:rsid w:val="00DF04BB"/>
    <w:rsid w:val="00DF05DE"/>
    <w:rsid w:val="00DF082B"/>
    <w:rsid w:val="00DF0FD0"/>
    <w:rsid w:val="00DF138C"/>
    <w:rsid w:val="00DF1867"/>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383"/>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5E63"/>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2C3"/>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D9F"/>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D8E13D1"/>
  <w15:docId w15:val="{4EC8FA88-CE32-4C26-8763-48BEFB04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C5341-F60F-4A0A-B1BC-4FA8431F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6239</Words>
  <Characters>35564</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Teresa Andriani</cp:lastModifiedBy>
  <cp:revision>30</cp:revision>
  <cp:lastPrinted>2021-06-04T11:09:00Z</cp:lastPrinted>
  <dcterms:created xsi:type="dcterms:W3CDTF">2019-03-11T12:11:00Z</dcterms:created>
  <dcterms:modified xsi:type="dcterms:W3CDTF">2021-06-16T11:54:00Z</dcterms:modified>
</cp:coreProperties>
</file>