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13B29D75" w14:textId="18BF0C7D" w:rsidR="00E32E87" w:rsidRDefault="005B7A1D" w:rsidP="00E32E87">
      <w:pPr>
        <w:pStyle w:val="avviso"/>
      </w:pPr>
      <w:r w:rsidRPr="005B7A1D">
        <w:t xml:space="preserve">GARA EUROPEA A PROCEDURA APERTA TELEMATICA PER L’AFFIDAMENTO DEL SERVIZIO DI GESTIONE E MANUTENZIONE DEI SISTEMI INFORMATICI DELLE AZIENDE DEL SERVIZIO SANITARIO REGIONALE (CPV: </w:t>
      </w:r>
      <w:r w:rsidR="0049182B" w:rsidRPr="0049182B">
        <w:t>72253000-3</w:t>
      </w:r>
      <w:r w:rsidRPr="005B7A1D">
        <w:t>)</w:t>
      </w:r>
    </w:p>
    <w:p w14:paraId="464F5A56" w14:textId="77777777" w:rsidR="00E32E87" w:rsidRDefault="00E32E87" w:rsidP="00E32E87">
      <w:pPr>
        <w:pStyle w:val="avviso"/>
      </w:pPr>
    </w:p>
    <w:p w14:paraId="5BE6BD39" w14:textId="57531865" w:rsidR="00C76E8B" w:rsidRPr="007A22DB" w:rsidRDefault="00E32E87" w:rsidP="00E32E87">
      <w:pPr>
        <w:pStyle w:val="avviso"/>
        <w:rPr>
          <w:sz w:val="20"/>
          <w:szCs w:val="20"/>
        </w:rPr>
      </w:pPr>
      <w:r>
        <w:t xml:space="preserve">SIMOG n. </w:t>
      </w:r>
      <w:r w:rsidR="00C93C02">
        <w:t>8893742</w:t>
      </w:r>
    </w:p>
    <w:p w14:paraId="5BE6BD3A" w14:textId="2F50A1FA" w:rsidR="00186121" w:rsidRPr="004D538B" w:rsidRDefault="00186121" w:rsidP="00567CAD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proofErr w:type="gramStart"/>
      <w:r w:rsidR="00567CA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3a</w:t>
      </w:r>
      <w:proofErr w:type="gramEnd"/>
      <w:r w:rsidR="00567CA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.</w:t>
      </w:r>
      <w:r w:rsidR="00DC6D4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38D9168" w14:textId="77777777" w:rsidR="0026726A" w:rsidRDefault="0026726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OFFERTA TECNICA</w:t>
      </w:r>
    </w:p>
    <w:p w14:paraId="5BE6BD3E" w14:textId="4501C03A" w:rsidR="00E209F6" w:rsidRDefault="00567CAD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SCHEMA DI </w:t>
      </w:r>
      <w:r w:rsidR="0026726A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</w:t>
      </w:r>
      <w:r w:rsidR="00F70D3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</w:t>
      </w:r>
    </w:p>
    <w:p w14:paraId="3578C63C" w14:textId="6C9E0A48" w:rsidR="0026726A" w:rsidRDefault="0026726A" w:rsidP="0026726A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14:paraId="7559C542" w14:textId="257AAFAE" w:rsidR="0026726A" w:rsidRDefault="00F70D36" w:rsidP="0026726A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LOTTO n. </w:t>
      </w:r>
      <w:r w:rsidR="00DC6D4D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2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– CIG:</w:t>
      </w:r>
      <w:r w:rsidR="00C93C02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C93C02" w:rsidRPr="00C93C02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9594016077</w:t>
      </w:r>
    </w:p>
    <w:p w14:paraId="0FF17089" w14:textId="77777777" w:rsidR="0026726A" w:rsidRDefault="0026726A" w:rsidP="0026726A">
      <w:pPr>
        <w:pStyle w:val="avviso"/>
      </w:pPr>
    </w:p>
    <w:p w14:paraId="3C76FF7A" w14:textId="77777777" w:rsidR="0026726A" w:rsidRDefault="0026726A" w:rsidP="0026726A">
      <w:pPr>
        <w:pStyle w:val="avviso"/>
      </w:pPr>
      <w:r>
        <w:t>OPERATORE ECONOMICO ______________________________</w:t>
      </w:r>
    </w:p>
    <w:p w14:paraId="5BE6BD40" w14:textId="77777777" w:rsidR="00E209F6" w:rsidRPr="007A22DB" w:rsidRDefault="00E209F6" w:rsidP="00E71DBB">
      <w:pPr>
        <w:pStyle w:val="avviso"/>
      </w:pPr>
    </w:p>
    <w:p w14:paraId="5BE6BE1A" w14:textId="74838788" w:rsidR="00C76E8B" w:rsidRDefault="00C76E8B" w:rsidP="00F70D36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b/>
        </w:rPr>
      </w:pPr>
      <w:r w:rsidRPr="007A22DB">
        <w:br w:type="page"/>
      </w:r>
      <w:bookmarkEnd w:id="0"/>
      <w:bookmarkEnd w:id="1"/>
      <w:bookmarkEnd w:id="2"/>
    </w:p>
    <w:p w14:paraId="5BE6BE1B" w14:textId="02322C1F" w:rsidR="00A60923" w:rsidRPr="00AF5A00" w:rsidRDefault="00D67526" w:rsidP="00AF5A00">
      <w:pPr>
        <w:autoSpaceDE w:val="0"/>
        <w:autoSpaceDN w:val="0"/>
        <w:adjustRightInd w:val="0"/>
        <w:spacing w:before="360" w:after="360"/>
        <w:jc w:val="center"/>
        <w:rPr>
          <w:rFonts w:asciiTheme="minorHAnsi" w:hAnsiTheme="minorHAnsi" w:cs="Arial"/>
          <w:b/>
          <w:sz w:val="28"/>
          <w:szCs w:val="28"/>
        </w:rPr>
      </w:pPr>
      <w:r w:rsidRPr="00AF5A00">
        <w:rPr>
          <w:rFonts w:asciiTheme="minorHAnsi" w:hAnsiTheme="minorHAnsi" w:cs="Arial"/>
          <w:b/>
          <w:sz w:val="28"/>
          <w:szCs w:val="28"/>
        </w:rPr>
        <w:lastRenderedPageBreak/>
        <w:t>INDICAZIONI PER LA STESURA DELLA RELAZIONE TECNICA</w:t>
      </w:r>
    </w:p>
    <w:p w14:paraId="2AD4E01C" w14:textId="77777777" w:rsidR="00BC07AC" w:rsidRDefault="00BC07AC" w:rsidP="00BC07AC">
      <w:r>
        <w:t>Il presente documento fornisce indicazioni per la stesura della Relazione tecnica del servizio offerto di cui al capitolo 15 del disciplinare di gara.</w:t>
      </w:r>
    </w:p>
    <w:p w14:paraId="01C78F5A" w14:textId="6AB31F1A" w:rsidR="000B3E05" w:rsidRDefault="000B3E05" w:rsidP="000B3E05">
      <w:r>
        <w:t xml:space="preserve">La Relazione </w:t>
      </w:r>
      <w:r w:rsidR="00730194">
        <w:t>(</w:t>
      </w:r>
      <w:r w:rsidR="00730194" w:rsidRPr="00730194">
        <w:rPr>
          <w:b/>
          <w:bCs/>
        </w:rPr>
        <w:t>P</w:t>
      </w:r>
      <w:r w:rsidRPr="00730194">
        <w:rPr>
          <w:b/>
          <w:bCs/>
        </w:rPr>
        <w:t>rogetto Tecnico</w:t>
      </w:r>
      <w:r w:rsidR="00730194">
        <w:t>) deve essere</w:t>
      </w:r>
      <w:r>
        <w:t xml:space="preserve"> articolat</w:t>
      </w:r>
      <w:r w:rsidR="00B230EE">
        <w:t>a</w:t>
      </w:r>
      <w:r>
        <w:t xml:space="preserve"> in modo tale da replicare la struttura dei criteri e sub-criteri oggetto di valutazione, specificatamente riportati nella </w:t>
      </w:r>
      <w:r w:rsidR="00752480">
        <w:t>specifica tabella di cui al par</w:t>
      </w:r>
      <w:r w:rsidR="00B230EE">
        <w:t>a</w:t>
      </w:r>
      <w:r w:rsidR="00752480">
        <w:t>grafo 17.1 del disciplinare di gara</w:t>
      </w:r>
      <w:r>
        <w:t>, e dovrà descrivere:</w:t>
      </w:r>
    </w:p>
    <w:p w14:paraId="5FD30EF0" w14:textId="6A8152E8" w:rsidR="000B3E05" w:rsidRDefault="000B3E05" w:rsidP="00AF5A00">
      <w:pPr>
        <w:pStyle w:val="Paragrafoelenco"/>
        <w:numPr>
          <w:ilvl w:val="0"/>
          <w:numId w:val="9"/>
        </w:numPr>
      </w:pPr>
      <w:r>
        <w:t>l’organizzazione e le risorse utilizzate nella erogazione dei servizi riportando in particolare gli skill del personale impiegato;</w:t>
      </w:r>
    </w:p>
    <w:p w14:paraId="3EF10394" w14:textId="4A7FF9EF" w:rsidR="000B3E05" w:rsidRDefault="000B3E05" w:rsidP="00AF5A00">
      <w:pPr>
        <w:pStyle w:val="Paragrafoelenco"/>
        <w:numPr>
          <w:ilvl w:val="0"/>
          <w:numId w:val="9"/>
        </w:numPr>
      </w:pPr>
      <w:r>
        <w:t>la dettagliata descrizione degli ausili hardware e software e servizi offerti, evidenziandone le peculiarità e gli elementi che si vanno ad integrare/aggiornare/sostituire;</w:t>
      </w:r>
    </w:p>
    <w:p w14:paraId="3F230EF2" w14:textId="3B1585B0" w:rsidR="000B3E05" w:rsidRDefault="000B3E05" w:rsidP="00AF5A00">
      <w:pPr>
        <w:pStyle w:val="Paragrafoelenco"/>
        <w:numPr>
          <w:ilvl w:val="0"/>
          <w:numId w:val="9"/>
        </w:numPr>
      </w:pPr>
      <w:r>
        <w:t>la descrizione delle attività connesse con il servizio di assistenza allo start-up per la presa in carico;</w:t>
      </w:r>
    </w:p>
    <w:p w14:paraId="3F012D03" w14:textId="1F6FB2CD" w:rsidR="000B3E05" w:rsidRDefault="000B3E05" w:rsidP="00AF5A00">
      <w:pPr>
        <w:pStyle w:val="Paragrafoelenco"/>
        <w:numPr>
          <w:ilvl w:val="0"/>
          <w:numId w:val="9"/>
        </w:numPr>
      </w:pPr>
      <w:r>
        <w:t>le attività connesse con la erogazione dei servizi verticali;</w:t>
      </w:r>
    </w:p>
    <w:p w14:paraId="2B28906D" w14:textId="0FA9E077" w:rsidR="000B3E05" w:rsidRDefault="000B3E05" w:rsidP="00AF5A00">
      <w:pPr>
        <w:pStyle w:val="Paragrafoelenco"/>
        <w:numPr>
          <w:ilvl w:val="0"/>
          <w:numId w:val="9"/>
        </w:numPr>
      </w:pPr>
      <w:r>
        <w:t>i servizi trasversali organizzazione e personale impiegato;</w:t>
      </w:r>
    </w:p>
    <w:p w14:paraId="4E397240" w14:textId="5FD2A6EE" w:rsidR="000B3E05" w:rsidRDefault="000B3E05" w:rsidP="00AF5A00">
      <w:pPr>
        <w:pStyle w:val="Paragrafoelenco"/>
        <w:numPr>
          <w:ilvl w:val="0"/>
          <w:numId w:val="9"/>
        </w:numPr>
      </w:pPr>
      <w:r>
        <w:t>le figure professionali proposte per il servizio di assistenza specialistica e sistemistica “on-demand” ed il numero di giorni/uomo offerti;</w:t>
      </w:r>
    </w:p>
    <w:p w14:paraId="0CE0D420" w14:textId="68C1A605" w:rsidR="000B3E05" w:rsidRDefault="00376EB1" w:rsidP="00AF5A00">
      <w:pPr>
        <w:pStyle w:val="Paragrafoelenco"/>
        <w:numPr>
          <w:ilvl w:val="0"/>
          <w:numId w:val="9"/>
        </w:numPr>
      </w:pPr>
      <w:r>
        <w:t xml:space="preserve">eventuali </w:t>
      </w:r>
      <w:r w:rsidR="000B3E05">
        <w:t xml:space="preserve">servizi e prestazioni ulteriori </w:t>
      </w:r>
      <w:r w:rsidR="00580818">
        <w:t xml:space="preserve">e </w:t>
      </w:r>
      <w:r w:rsidR="000B3E05">
        <w:t>migliorativi</w:t>
      </w:r>
      <w:r w:rsidR="00580818">
        <w:t xml:space="preserve"> rispetto ai requisiti minimi richiesti dalla documentazione tecnica di gara</w:t>
      </w:r>
      <w:r w:rsidR="000B3E05">
        <w:t>.</w:t>
      </w:r>
    </w:p>
    <w:p w14:paraId="6C4D7C6C" w14:textId="54449B3B" w:rsidR="00414505" w:rsidRDefault="00414505" w:rsidP="00414505">
      <w:r>
        <w:t>In particolare, nella Relazione devono essere esplicitate le offerte del concorrente con riferimento ai sub-criteri di valutazione di tipo quantitativo (</w:t>
      </w:r>
      <w:r w:rsidRPr="00414505">
        <w:rPr>
          <w:b/>
          <w:bCs/>
        </w:rPr>
        <w:t>Q</w:t>
      </w:r>
      <w:r>
        <w:t>):</w:t>
      </w:r>
    </w:p>
    <w:p w14:paraId="67040212" w14:textId="77777777" w:rsidR="00414505" w:rsidRDefault="00414505" w:rsidP="00414505"/>
    <w:tbl>
      <w:tblPr>
        <w:tblW w:w="0" w:type="auto"/>
        <w:tblLook w:val="04A0" w:firstRow="1" w:lastRow="0" w:firstColumn="1" w:lastColumn="0" w:noHBand="0" w:noVBand="1"/>
      </w:tblPr>
      <w:tblGrid>
        <w:gridCol w:w="1162"/>
        <w:gridCol w:w="5490"/>
        <w:gridCol w:w="1381"/>
        <w:gridCol w:w="1311"/>
      </w:tblGrid>
      <w:tr w:rsidR="00414505" w:rsidRPr="00965EB6" w14:paraId="772558B3" w14:textId="77777777" w:rsidTr="00D5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1FB6" w14:textId="77777777" w:rsidR="00414505" w:rsidRPr="00965EB6" w:rsidRDefault="00414505" w:rsidP="00D50068">
            <w:pPr>
              <w:spacing w:before="0"/>
              <w:jc w:val="center"/>
              <w:rPr>
                <w:b/>
                <w:bCs/>
              </w:rPr>
            </w:pPr>
            <w:r w:rsidRPr="00965EB6">
              <w:rPr>
                <w:b/>
                <w:bCs/>
              </w:rPr>
              <w:t>Sub-criterio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794A" w14:textId="77777777" w:rsidR="00414505" w:rsidRPr="00965EB6" w:rsidRDefault="00414505" w:rsidP="00D50068">
            <w:pPr>
              <w:spacing w:before="0"/>
              <w:jc w:val="center"/>
              <w:rPr>
                <w:b/>
                <w:bCs/>
              </w:rPr>
            </w:pPr>
            <w:r w:rsidRPr="00965EB6">
              <w:rPr>
                <w:b/>
                <w:bCs/>
              </w:rPr>
              <w:t>Parametro offerta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BC36" w14:textId="77777777" w:rsidR="00414505" w:rsidRPr="00965EB6" w:rsidRDefault="00414505" w:rsidP="00D50068">
            <w:pPr>
              <w:spacing w:before="0"/>
              <w:jc w:val="center"/>
              <w:rPr>
                <w:b/>
                <w:bCs/>
              </w:rPr>
            </w:pPr>
            <w:r w:rsidRPr="00965EB6">
              <w:rPr>
                <w:b/>
                <w:bCs/>
              </w:rPr>
              <w:t>Unità di misura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4386" w14:textId="77777777" w:rsidR="00414505" w:rsidRPr="00965EB6" w:rsidRDefault="00414505" w:rsidP="00D50068">
            <w:pPr>
              <w:spacing w:before="0"/>
              <w:jc w:val="center"/>
              <w:rPr>
                <w:b/>
                <w:bCs/>
              </w:rPr>
            </w:pPr>
            <w:r w:rsidRPr="00965EB6">
              <w:rPr>
                <w:b/>
                <w:bCs/>
              </w:rPr>
              <w:t>Valore offerto</w:t>
            </w:r>
          </w:p>
        </w:tc>
      </w:tr>
      <w:tr w:rsidR="00414505" w:rsidRPr="00965EB6" w14:paraId="565A08B7" w14:textId="77777777" w:rsidTr="00D5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AFE1" w14:textId="77777777" w:rsidR="00414505" w:rsidRPr="00965EB6" w:rsidRDefault="00414505" w:rsidP="00D50068">
            <w:pPr>
              <w:spacing w:before="0"/>
              <w:jc w:val="center"/>
            </w:pPr>
            <w:r w:rsidRPr="00965EB6">
              <w:t>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3776" w14:textId="77777777" w:rsidR="00414505" w:rsidRPr="00965EB6" w:rsidRDefault="00414505" w:rsidP="00D50068">
            <w:pPr>
              <w:spacing w:before="0"/>
              <w:jc w:val="left"/>
            </w:pPr>
            <w:r w:rsidRPr="00965EB6">
              <w:t>Giorni offerti per l’impianto e attivazione di tutti i servizi</w:t>
            </w:r>
          </w:p>
          <w:p w14:paraId="1D2C72ED" w14:textId="77777777" w:rsidR="00414505" w:rsidRPr="00965EB6" w:rsidRDefault="00414505" w:rsidP="00D50068">
            <w:pPr>
              <w:spacing w:before="0"/>
              <w:jc w:val="left"/>
              <w:rPr>
                <w:b/>
                <w:bCs/>
              </w:rPr>
            </w:pPr>
            <w:r w:rsidRPr="00965EB6">
              <w:rPr>
                <w:b/>
                <w:bCs/>
              </w:rPr>
              <w:t>(max 120 giorni – min 60 giorni)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A565" w14:textId="77777777" w:rsidR="00414505" w:rsidRPr="00965EB6" w:rsidRDefault="00414505" w:rsidP="00D50068">
            <w:pPr>
              <w:spacing w:before="0"/>
              <w:jc w:val="center"/>
            </w:pPr>
            <w:r w:rsidRPr="00965EB6">
              <w:t>giorni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EF7A" w14:textId="77777777" w:rsidR="00414505" w:rsidRPr="00965EB6" w:rsidRDefault="00414505" w:rsidP="00D50068">
            <w:pPr>
              <w:spacing w:before="0"/>
              <w:jc w:val="left"/>
            </w:pPr>
          </w:p>
        </w:tc>
      </w:tr>
      <w:tr w:rsidR="00414505" w:rsidRPr="00965EB6" w14:paraId="39CE3E8B" w14:textId="77777777" w:rsidTr="00D5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35D0" w14:textId="77777777" w:rsidR="00414505" w:rsidRPr="00965EB6" w:rsidRDefault="00414505" w:rsidP="00D50068">
            <w:pPr>
              <w:spacing w:before="0"/>
              <w:jc w:val="center"/>
            </w:pPr>
            <w:r w:rsidRPr="00965EB6">
              <w:t>10.4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4488" w14:textId="77777777" w:rsidR="00414505" w:rsidRPr="00965EB6" w:rsidRDefault="00414505" w:rsidP="00D50068">
            <w:pPr>
              <w:spacing w:before="0"/>
              <w:jc w:val="left"/>
            </w:pPr>
            <w:r w:rsidRPr="00965EB6">
              <w:t>Numero complessivo dei “giorni uomo” di assistenza on-site settimanali offerti.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D253" w14:textId="77777777" w:rsidR="00414505" w:rsidRPr="00965EB6" w:rsidRDefault="00414505" w:rsidP="00D50068">
            <w:pPr>
              <w:spacing w:before="0"/>
              <w:jc w:val="center"/>
            </w:pPr>
            <w:r w:rsidRPr="00965EB6">
              <w:t>giorni-uomo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877B" w14:textId="77777777" w:rsidR="00414505" w:rsidRPr="00965EB6" w:rsidRDefault="00414505" w:rsidP="00D50068">
            <w:pPr>
              <w:spacing w:before="0"/>
              <w:jc w:val="left"/>
            </w:pPr>
          </w:p>
        </w:tc>
      </w:tr>
    </w:tbl>
    <w:p w14:paraId="221A33E8" w14:textId="77777777" w:rsidR="005F4362" w:rsidRDefault="005F4362" w:rsidP="000B3E05"/>
    <w:p w14:paraId="5C95F0C8" w14:textId="1E32D129" w:rsidR="004627C0" w:rsidRDefault="001841F8" w:rsidP="0006131A">
      <w:r>
        <w:t>D</w:t>
      </w:r>
      <w:r w:rsidRPr="001841F8">
        <w:t>al punto di vista editoriale</w:t>
      </w:r>
      <w:r w:rsidR="00BC4DD5">
        <w:t xml:space="preserve"> la Relazione Tecnica deve</w:t>
      </w:r>
      <w:r w:rsidR="004627C0">
        <w:t>:</w:t>
      </w:r>
    </w:p>
    <w:p w14:paraId="0F3BF68A" w14:textId="77777777" w:rsidR="00BC4DD5" w:rsidRDefault="00BC4DD5" w:rsidP="00BC4DD5">
      <w:pPr>
        <w:pStyle w:val="Paragrafoelenco"/>
        <w:numPr>
          <w:ilvl w:val="0"/>
          <w:numId w:val="11"/>
        </w:numPr>
      </w:pPr>
      <w:r w:rsidRPr="00BC4DD5">
        <w:t>avere un indice completo del proprio contenuto</w:t>
      </w:r>
      <w:r>
        <w:t>,</w:t>
      </w:r>
    </w:p>
    <w:p w14:paraId="28917ACF" w14:textId="0220BD13" w:rsidR="001841F8" w:rsidRDefault="001841F8" w:rsidP="00BC4DD5">
      <w:pPr>
        <w:pStyle w:val="Paragrafoelenco"/>
        <w:numPr>
          <w:ilvl w:val="0"/>
          <w:numId w:val="11"/>
        </w:numPr>
      </w:pPr>
      <w:r w:rsidRPr="001841F8">
        <w:t>essere prodott</w:t>
      </w:r>
      <w:r w:rsidR="00182169">
        <w:t>a</w:t>
      </w:r>
      <w:r w:rsidRPr="001841F8">
        <w:t xml:space="preserve"> attribuendo una numerazione progressiva ed univoca delle pagine e riportando su ciascuna di essa il numero della pagina ed il numero totale di pagine (ad esempio, Pag. 10 di 40)</w:t>
      </w:r>
      <w:r w:rsidR="00182169">
        <w:t>.</w:t>
      </w:r>
    </w:p>
    <w:sectPr w:rsidR="001841F8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22F9" w14:textId="77777777" w:rsidR="00E2760F" w:rsidRDefault="00E2760F" w:rsidP="00E71DBB">
      <w:r>
        <w:separator/>
      </w:r>
    </w:p>
  </w:endnote>
  <w:endnote w:type="continuationSeparator" w:id="0">
    <w:p w14:paraId="0B6031A0" w14:textId="77777777" w:rsidR="00E2760F" w:rsidRDefault="00E2760F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7A6" w14:textId="212D8045" w:rsidR="003A2BD9" w:rsidRPr="00102D39" w:rsidRDefault="003A2BD9" w:rsidP="00DC3E2B">
    <w:pPr>
      <w:pBdr>
        <w:top w:val="single" w:sz="4" w:space="1" w:color="auto"/>
      </w:pBdr>
      <w:spacing w:before="0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PAGE  \* Arabic  \* MERGEFORMAT</w:instrText>
    </w:r>
    <w:r w:rsidRPr="00DC3E2B">
      <w:rPr>
        <w:b/>
        <w:bCs/>
        <w:sz w:val="18"/>
        <w:szCs w:val="18"/>
      </w:rPr>
      <w:fldChar w:fldCharType="separate"/>
    </w:r>
    <w:r w:rsidR="00E518E2">
      <w:rPr>
        <w:b/>
        <w:bCs/>
        <w:noProof/>
        <w:sz w:val="18"/>
        <w:szCs w:val="18"/>
      </w:rPr>
      <w:t>6</w:t>
    </w:r>
    <w:r w:rsidRPr="00DC3E2B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NUMPAGES  \* Arabic  \* MERGEFORMAT</w:instrText>
    </w:r>
    <w:r w:rsidRPr="00DC3E2B">
      <w:rPr>
        <w:b/>
        <w:bCs/>
        <w:sz w:val="18"/>
        <w:szCs w:val="18"/>
      </w:rPr>
      <w:fldChar w:fldCharType="separate"/>
    </w:r>
    <w:r w:rsidR="00E518E2">
      <w:rPr>
        <w:b/>
        <w:bCs/>
        <w:noProof/>
        <w:sz w:val="18"/>
        <w:szCs w:val="18"/>
      </w:rPr>
      <w:t>6</w:t>
    </w:r>
    <w:r w:rsidRPr="00DC3E2B">
      <w:rPr>
        <w:b/>
        <w:bCs/>
        <w:noProof/>
        <w:sz w:val="18"/>
        <w:szCs w:val="18"/>
      </w:rPr>
      <w:fldChar w:fldCharType="end"/>
    </w:r>
  </w:p>
  <w:p w14:paraId="5BE6BE3D" w14:textId="3E0EF40A" w:rsidR="003A2BD9" w:rsidRDefault="00166276" w:rsidP="00DC3E2B">
    <w:pPr>
      <w:pStyle w:val="Intestazione"/>
      <w:spacing w:before="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RELAZIONE TECNICA – LOTTO n. </w:t>
    </w:r>
    <w:r w:rsidR="00DC6D4D"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t xml:space="preserve"> – CIG:</w:t>
    </w:r>
    <w:r w:rsidR="00C93C02">
      <w:rPr>
        <w:b/>
        <w:bCs/>
        <w:sz w:val="18"/>
        <w:szCs w:val="18"/>
      </w:rPr>
      <w:t xml:space="preserve"> </w:t>
    </w:r>
    <w:r w:rsidR="00C93C02" w:rsidRPr="00C93C02">
      <w:rPr>
        <w:b/>
        <w:bCs/>
        <w:sz w:val="18"/>
        <w:szCs w:val="18"/>
      </w:rPr>
      <w:t>9594016077</w:t>
    </w:r>
  </w:p>
  <w:p w14:paraId="1397100C" w14:textId="77777777" w:rsidR="00495E0D" w:rsidRPr="00DC3E2B" w:rsidRDefault="00495E0D" w:rsidP="00DC3E2B">
    <w:pPr>
      <w:pStyle w:val="Intestazione"/>
      <w:spacing w:before="0"/>
      <w:jc w:val="center"/>
      <w:rPr>
        <w:b/>
        <w:bCs/>
        <w:i/>
        <w:sz w:val="18"/>
        <w:szCs w:val="18"/>
      </w:rPr>
    </w:pPr>
  </w:p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387CD6B7" w14:textId="41B3B01C" w:rsidR="007C4312" w:rsidRDefault="00495E0D" w:rsidP="00114C70">
            <w:pPr>
              <w:pStyle w:val="Pidipagina"/>
              <w:spacing w:before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495E0D">
              <w:rPr>
                <w:i/>
                <w:iCs/>
                <w:sz w:val="16"/>
                <w:szCs w:val="16"/>
              </w:rPr>
              <w:t xml:space="preserve">Gara europea a procedura aperta telematica per l’affidamento del servizio di gestione e manutenzione dei sistemi informatici delle Aziende del Servizio Sanitario regionale (CPV </w:t>
            </w:r>
            <w:r w:rsidR="0049182B" w:rsidRPr="0049182B">
              <w:rPr>
                <w:i/>
                <w:iCs/>
                <w:sz w:val="16"/>
                <w:szCs w:val="16"/>
              </w:rPr>
              <w:t>72253000-3</w:t>
            </w:r>
            <w:r w:rsidRPr="00495E0D">
              <w:rPr>
                <w:i/>
                <w:iCs/>
                <w:sz w:val="16"/>
                <w:szCs w:val="16"/>
              </w:rPr>
              <w:t>).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B449" w14:textId="77777777" w:rsidR="00E2760F" w:rsidRDefault="00E2760F" w:rsidP="00E71DBB">
      <w:r>
        <w:separator/>
      </w:r>
    </w:p>
  </w:footnote>
  <w:footnote w:type="continuationSeparator" w:id="0">
    <w:p w14:paraId="77292F06" w14:textId="77777777" w:rsidR="00E2760F" w:rsidRDefault="00E2760F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405978" w:rsidRPr="006756B3" w14:paraId="1B75C19E" w14:textId="77777777" w:rsidTr="00405978">
      <w:tc>
        <w:tcPr>
          <w:tcW w:w="2268" w:type="dxa"/>
        </w:tcPr>
        <w:p w14:paraId="7A408DC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98B149C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07A262F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BBA68DA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395560F7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0F9194BB" wp14:editId="5F03849A">
                <wp:extent cx="1277410" cy="523984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3C" w14:textId="196CC5B0" w:rsidR="003A2BD9" w:rsidRPr="00711C16" w:rsidRDefault="003A2BD9" w:rsidP="00711C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6756B3" w:rsidRPr="006756B3" w14:paraId="5DDF3BB4" w14:textId="77777777" w:rsidTr="006756B3">
      <w:tc>
        <w:tcPr>
          <w:tcW w:w="2268" w:type="dxa"/>
        </w:tcPr>
        <w:p w14:paraId="76CFF33C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2B32B60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E93CEFA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177823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76E8D9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58024B85" wp14:editId="6B181311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43" w14:textId="5BC4C43C" w:rsidR="003A2BD9" w:rsidRPr="00711C16" w:rsidRDefault="003A2BD9" w:rsidP="00711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A2623D7"/>
    <w:multiLevelType w:val="hybridMultilevel"/>
    <w:tmpl w:val="75C21FCC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28ED"/>
    <w:multiLevelType w:val="hybridMultilevel"/>
    <w:tmpl w:val="7ADA82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9F3"/>
    <w:multiLevelType w:val="hybridMultilevel"/>
    <w:tmpl w:val="4E381BB6"/>
    <w:lvl w:ilvl="0" w:tplc="A9C2FC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35898">
    <w:abstractNumId w:val="0"/>
  </w:num>
  <w:num w:numId="2" w16cid:durableId="292250640">
    <w:abstractNumId w:val="6"/>
  </w:num>
  <w:num w:numId="3" w16cid:durableId="1087727016">
    <w:abstractNumId w:val="9"/>
  </w:num>
  <w:num w:numId="4" w16cid:durableId="1788550109">
    <w:abstractNumId w:val="1"/>
  </w:num>
  <w:num w:numId="5" w16cid:durableId="2045709237">
    <w:abstractNumId w:val="10"/>
  </w:num>
  <w:num w:numId="6" w16cid:durableId="597755503">
    <w:abstractNumId w:val="2"/>
  </w:num>
  <w:num w:numId="7" w16cid:durableId="850218961">
    <w:abstractNumId w:val="7"/>
  </w:num>
  <w:num w:numId="8" w16cid:durableId="994843262">
    <w:abstractNumId w:val="3"/>
  </w:num>
  <w:num w:numId="9" w16cid:durableId="1083719491">
    <w:abstractNumId w:val="5"/>
  </w:num>
  <w:num w:numId="10" w16cid:durableId="1080636884">
    <w:abstractNumId w:val="8"/>
  </w:num>
  <w:num w:numId="11" w16cid:durableId="94950685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5985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50E6"/>
    <w:rsid w:val="00057815"/>
    <w:rsid w:val="00060B73"/>
    <w:rsid w:val="0006131A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3E05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4C70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66276"/>
    <w:rsid w:val="001705C7"/>
    <w:rsid w:val="00170961"/>
    <w:rsid w:val="00171019"/>
    <w:rsid w:val="00176CB9"/>
    <w:rsid w:val="00176E17"/>
    <w:rsid w:val="001775F5"/>
    <w:rsid w:val="00182169"/>
    <w:rsid w:val="001841F8"/>
    <w:rsid w:val="00186121"/>
    <w:rsid w:val="001909BC"/>
    <w:rsid w:val="0019616F"/>
    <w:rsid w:val="001A01B1"/>
    <w:rsid w:val="001A46F5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46F6"/>
    <w:rsid w:val="001D499F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4D8B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1201"/>
    <w:rsid w:val="00262555"/>
    <w:rsid w:val="00262764"/>
    <w:rsid w:val="002639BD"/>
    <w:rsid w:val="00263CE3"/>
    <w:rsid w:val="002655FF"/>
    <w:rsid w:val="0026566A"/>
    <w:rsid w:val="00265C18"/>
    <w:rsid w:val="00266B80"/>
    <w:rsid w:val="0026726A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5652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24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457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3DBE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6EB1"/>
    <w:rsid w:val="00377906"/>
    <w:rsid w:val="00377934"/>
    <w:rsid w:val="00380D60"/>
    <w:rsid w:val="00382776"/>
    <w:rsid w:val="00383110"/>
    <w:rsid w:val="00383DD2"/>
    <w:rsid w:val="003857EA"/>
    <w:rsid w:val="00387031"/>
    <w:rsid w:val="003907D7"/>
    <w:rsid w:val="0039191D"/>
    <w:rsid w:val="003935AD"/>
    <w:rsid w:val="00395114"/>
    <w:rsid w:val="003956D2"/>
    <w:rsid w:val="0039688A"/>
    <w:rsid w:val="003A112C"/>
    <w:rsid w:val="003A1CC8"/>
    <w:rsid w:val="003A2BD9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5978"/>
    <w:rsid w:val="0041115D"/>
    <w:rsid w:val="00413105"/>
    <w:rsid w:val="004145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6B52"/>
    <w:rsid w:val="00437D94"/>
    <w:rsid w:val="004427BA"/>
    <w:rsid w:val="004429DE"/>
    <w:rsid w:val="00443A95"/>
    <w:rsid w:val="0044630B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27C0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182B"/>
    <w:rsid w:val="00492CAD"/>
    <w:rsid w:val="00494671"/>
    <w:rsid w:val="004949B9"/>
    <w:rsid w:val="00495E0D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4F772E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3ECA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7CAD"/>
    <w:rsid w:val="00570BBE"/>
    <w:rsid w:val="00570F22"/>
    <w:rsid w:val="00572219"/>
    <w:rsid w:val="00572E16"/>
    <w:rsid w:val="005754CC"/>
    <w:rsid w:val="00576ED0"/>
    <w:rsid w:val="00580818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A1D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4362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17096"/>
    <w:rsid w:val="00620D24"/>
    <w:rsid w:val="006222D3"/>
    <w:rsid w:val="00622B70"/>
    <w:rsid w:val="00623697"/>
    <w:rsid w:val="006258C1"/>
    <w:rsid w:val="00626951"/>
    <w:rsid w:val="0062721C"/>
    <w:rsid w:val="00632477"/>
    <w:rsid w:val="00632BCA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0D13"/>
    <w:rsid w:val="0067162A"/>
    <w:rsid w:val="0067237D"/>
    <w:rsid w:val="00674136"/>
    <w:rsid w:val="0067417B"/>
    <w:rsid w:val="0067449A"/>
    <w:rsid w:val="006756B3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05DD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717B"/>
    <w:rsid w:val="00711C16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194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480"/>
    <w:rsid w:val="00752D04"/>
    <w:rsid w:val="0075467D"/>
    <w:rsid w:val="00755C1D"/>
    <w:rsid w:val="007569B7"/>
    <w:rsid w:val="00756C13"/>
    <w:rsid w:val="00762266"/>
    <w:rsid w:val="00762F52"/>
    <w:rsid w:val="007713B9"/>
    <w:rsid w:val="00771AB0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4312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D75D8"/>
    <w:rsid w:val="007E0165"/>
    <w:rsid w:val="007E21B8"/>
    <w:rsid w:val="007E3D03"/>
    <w:rsid w:val="007E44EB"/>
    <w:rsid w:val="007E5E4F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8D7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5B72"/>
    <w:rsid w:val="0083707D"/>
    <w:rsid w:val="008371AB"/>
    <w:rsid w:val="00837C32"/>
    <w:rsid w:val="008412CF"/>
    <w:rsid w:val="0084216C"/>
    <w:rsid w:val="0084620E"/>
    <w:rsid w:val="0084741F"/>
    <w:rsid w:val="00851605"/>
    <w:rsid w:val="0085174E"/>
    <w:rsid w:val="00853477"/>
    <w:rsid w:val="00853EBA"/>
    <w:rsid w:val="008541A3"/>
    <w:rsid w:val="00855CEA"/>
    <w:rsid w:val="00857F64"/>
    <w:rsid w:val="00860ABC"/>
    <w:rsid w:val="00860CF6"/>
    <w:rsid w:val="00860D2D"/>
    <w:rsid w:val="00860E4C"/>
    <w:rsid w:val="00861F89"/>
    <w:rsid w:val="008655AC"/>
    <w:rsid w:val="00866595"/>
    <w:rsid w:val="00866729"/>
    <w:rsid w:val="0087336B"/>
    <w:rsid w:val="008767D0"/>
    <w:rsid w:val="008803B2"/>
    <w:rsid w:val="00880B98"/>
    <w:rsid w:val="00880EC3"/>
    <w:rsid w:val="00881313"/>
    <w:rsid w:val="00882C2E"/>
    <w:rsid w:val="008832CC"/>
    <w:rsid w:val="0088346B"/>
    <w:rsid w:val="00884A10"/>
    <w:rsid w:val="00885261"/>
    <w:rsid w:val="00885E35"/>
    <w:rsid w:val="0088786F"/>
    <w:rsid w:val="00893256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AE0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AB2"/>
    <w:rsid w:val="00905D3A"/>
    <w:rsid w:val="00907736"/>
    <w:rsid w:val="00907B83"/>
    <w:rsid w:val="009103AE"/>
    <w:rsid w:val="009139C8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018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06F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64FD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366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0F32"/>
    <w:rsid w:val="00A811CC"/>
    <w:rsid w:val="00A818EF"/>
    <w:rsid w:val="00A81E40"/>
    <w:rsid w:val="00A822C9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58E9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67E"/>
    <w:rsid w:val="00AF2E93"/>
    <w:rsid w:val="00AF4CA2"/>
    <w:rsid w:val="00AF55AD"/>
    <w:rsid w:val="00AF5A00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067DE"/>
    <w:rsid w:val="00B101F0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0EE"/>
    <w:rsid w:val="00B231BB"/>
    <w:rsid w:val="00B26892"/>
    <w:rsid w:val="00B304D1"/>
    <w:rsid w:val="00B3068F"/>
    <w:rsid w:val="00B32122"/>
    <w:rsid w:val="00B4139D"/>
    <w:rsid w:val="00B42BC7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3EAD"/>
    <w:rsid w:val="00B75C93"/>
    <w:rsid w:val="00B76755"/>
    <w:rsid w:val="00B778EC"/>
    <w:rsid w:val="00B8077F"/>
    <w:rsid w:val="00B81F94"/>
    <w:rsid w:val="00B83A16"/>
    <w:rsid w:val="00B845D8"/>
    <w:rsid w:val="00B9062E"/>
    <w:rsid w:val="00B917C5"/>
    <w:rsid w:val="00B92542"/>
    <w:rsid w:val="00B962BC"/>
    <w:rsid w:val="00B965AE"/>
    <w:rsid w:val="00B96DE5"/>
    <w:rsid w:val="00B971A7"/>
    <w:rsid w:val="00BA074C"/>
    <w:rsid w:val="00BA16C5"/>
    <w:rsid w:val="00BA2383"/>
    <w:rsid w:val="00BA4DFA"/>
    <w:rsid w:val="00BA5C6F"/>
    <w:rsid w:val="00BA65D4"/>
    <w:rsid w:val="00BA7BC1"/>
    <w:rsid w:val="00BA7DD9"/>
    <w:rsid w:val="00BB042E"/>
    <w:rsid w:val="00BB211C"/>
    <w:rsid w:val="00BB2660"/>
    <w:rsid w:val="00BB2FC5"/>
    <w:rsid w:val="00BB317A"/>
    <w:rsid w:val="00BB5A71"/>
    <w:rsid w:val="00BB712C"/>
    <w:rsid w:val="00BC0635"/>
    <w:rsid w:val="00BC07AC"/>
    <w:rsid w:val="00BC4DD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6F81"/>
    <w:rsid w:val="00BF7B0D"/>
    <w:rsid w:val="00C01B85"/>
    <w:rsid w:val="00C03791"/>
    <w:rsid w:val="00C03CDD"/>
    <w:rsid w:val="00C03E80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6E91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4DEF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324"/>
    <w:rsid w:val="00C84C55"/>
    <w:rsid w:val="00C861DF"/>
    <w:rsid w:val="00C8648C"/>
    <w:rsid w:val="00C87150"/>
    <w:rsid w:val="00C873CA"/>
    <w:rsid w:val="00C902EA"/>
    <w:rsid w:val="00C914B0"/>
    <w:rsid w:val="00C93C02"/>
    <w:rsid w:val="00C954FF"/>
    <w:rsid w:val="00C95584"/>
    <w:rsid w:val="00CA2019"/>
    <w:rsid w:val="00CA26CF"/>
    <w:rsid w:val="00CA2A61"/>
    <w:rsid w:val="00CA6D32"/>
    <w:rsid w:val="00CA74FF"/>
    <w:rsid w:val="00CA7CFA"/>
    <w:rsid w:val="00CB2A37"/>
    <w:rsid w:val="00CB2C89"/>
    <w:rsid w:val="00CB70F2"/>
    <w:rsid w:val="00CB7FEF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412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4C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67526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3E2B"/>
    <w:rsid w:val="00DC46E1"/>
    <w:rsid w:val="00DC4C1C"/>
    <w:rsid w:val="00DC5982"/>
    <w:rsid w:val="00DC6D4D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60F"/>
    <w:rsid w:val="00E2786B"/>
    <w:rsid w:val="00E32C72"/>
    <w:rsid w:val="00E32E87"/>
    <w:rsid w:val="00E33239"/>
    <w:rsid w:val="00E35EC2"/>
    <w:rsid w:val="00E36B36"/>
    <w:rsid w:val="00E37470"/>
    <w:rsid w:val="00E4001B"/>
    <w:rsid w:val="00E418BF"/>
    <w:rsid w:val="00E449A1"/>
    <w:rsid w:val="00E46A32"/>
    <w:rsid w:val="00E50120"/>
    <w:rsid w:val="00E518E2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B62EF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0D36"/>
    <w:rsid w:val="00F71305"/>
    <w:rsid w:val="00F71378"/>
    <w:rsid w:val="00F72429"/>
    <w:rsid w:val="00F73F1B"/>
    <w:rsid w:val="00F7544C"/>
    <w:rsid w:val="00F75648"/>
    <w:rsid w:val="00F77591"/>
    <w:rsid w:val="00F80FCC"/>
    <w:rsid w:val="00F82E32"/>
    <w:rsid w:val="00F90020"/>
    <w:rsid w:val="00F92129"/>
    <w:rsid w:val="00F9247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A6EF5"/>
    <w:rsid w:val="00FB05E8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1B9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75D3-76CB-498B-8BA5-B34566CB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2359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7</cp:revision>
  <cp:lastPrinted>2018-07-12T16:06:00Z</cp:lastPrinted>
  <dcterms:created xsi:type="dcterms:W3CDTF">2022-12-14T12:36:00Z</dcterms:created>
  <dcterms:modified xsi:type="dcterms:W3CDTF">2023-01-10T15:05:00Z</dcterms:modified>
</cp:coreProperties>
</file>